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B62616" w:rsidRDefault="00000000" w14:paraId="742BD9FC" w14:textId="77777777">
      <w:pPr>
        <w:pStyle w:val="A"/>
        <w:spacing w:line="360" w:lineRule="auto"/>
        <w:ind w:left="2160" w:hanging="2160"/>
        <w:rPr>
          <w:rFonts w:ascii="Arial" w:hAnsi="Arial" w:eastAsia="Arial" w:cs="Arial"/>
          <w:sz w:val="26"/>
          <w:szCs w:val="26"/>
        </w:rPr>
      </w:pPr>
      <w:r>
        <w:rPr>
          <w:rFonts w:ascii="Arial" w:hAnsi="Arial"/>
          <w:b/>
          <w:bCs/>
          <w:sz w:val="26"/>
          <w:szCs w:val="26"/>
        </w:rPr>
        <w:t>Forum:</w:t>
      </w:r>
      <w:r>
        <w:rPr>
          <w:rFonts w:ascii="Arial" w:hAnsi="Arial"/>
          <w:b/>
          <w:bCs/>
          <w:sz w:val="26"/>
          <w:szCs w:val="26"/>
        </w:rPr>
        <w:tab/>
      </w:r>
      <w:r>
        <w:rPr>
          <w:rFonts w:ascii="Arial" w:hAnsi="Arial"/>
          <w:sz w:val="26"/>
          <w:szCs w:val="26"/>
        </w:rPr>
        <w:t>General Assembly (GA)</w:t>
      </w:r>
    </w:p>
    <w:p w:rsidR="00B62616" w:rsidRDefault="00000000" w14:paraId="51567E86" w14:textId="77777777">
      <w:pPr>
        <w:pStyle w:val="A"/>
        <w:spacing w:line="360" w:lineRule="auto"/>
        <w:ind w:left="2160" w:hanging="2160"/>
        <w:rPr>
          <w:rFonts w:ascii="Arial" w:hAnsi="Arial" w:eastAsia="Arial" w:cs="Arial"/>
          <w:sz w:val="26"/>
          <w:szCs w:val="26"/>
        </w:rPr>
      </w:pPr>
      <w:r>
        <w:rPr>
          <w:rFonts w:ascii="Arial" w:hAnsi="Arial"/>
          <w:b/>
          <w:bCs/>
          <w:sz w:val="26"/>
          <w:szCs w:val="26"/>
        </w:rPr>
        <w:t>Issue:</w:t>
      </w:r>
      <w:r>
        <w:rPr>
          <w:rFonts w:ascii="Arial" w:hAnsi="Arial"/>
          <w:b/>
          <w:bCs/>
          <w:sz w:val="26"/>
          <w:szCs w:val="26"/>
        </w:rPr>
        <w:tab/>
      </w:r>
      <w:r>
        <w:rPr>
          <w:rFonts w:ascii="Arial" w:hAnsi="Arial"/>
          <w:sz w:val="26"/>
          <w:szCs w:val="26"/>
        </w:rPr>
        <w:t>Mitigating the impacts of consequential environmental degradation stemming from rapid urbanization</w:t>
      </w:r>
    </w:p>
    <w:p w:rsidR="00B62616" w:rsidRDefault="00000000" w14:paraId="7E40BCC2" w14:textId="77777777">
      <w:pPr>
        <w:pStyle w:val="A"/>
        <w:spacing w:line="360" w:lineRule="auto"/>
        <w:rPr>
          <w:rFonts w:ascii="Arial" w:hAnsi="Arial" w:eastAsia="Arial" w:cs="Arial"/>
          <w:sz w:val="26"/>
          <w:szCs w:val="26"/>
        </w:rPr>
      </w:pPr>
      <w:r>
        <w:rPr>
          <w:rFonts w:ascii="Arial" w:hAnsi="Arial"/>
          <w:b/>
          <w:bCs/>
          <w:sz w:val="26"/>
          <w:szCs w:val="26"/>
        </w:rPr>
        <w:t>Student Officer:</w:t>
      </w:r>
      <w:r>
        <w:rPr>
          <w:rFonts w:ascii="Arial" w:hAnsi="Arial" w:eastAsia="Arial" w:cs="Arial"/>
          <w:sz w:val="26"/>
          <w:szCs w:val="26"/>
        </w:rPr>
        <w:tab/>
      </w:r>
      <w:r>
        <w:rPr>
          <w:rFonts w:ascii="Arial" w:hAnsi="Arial" w:eastAsia="Arial" w:cs="Arial"/>
          <w:sz w:val="26"/>
          <w:szCs w:val="26"/>
        </w:rPr>
        <w:t>Emma Jung</w:t>
      </w:r>
    </w:p>
    <w:p w:rsidR="00B62616" w:rsidRDefault="00000000" w14:paraId="149655C4" w14:textId="77777777">
      <w:pPr>
        <w:pStyle w:val="A"/>
        <w:spacing w:line="360" w:lineRule="auto"/>
        <w:ind w:left="2160" w:hanging="2160"/>
        <w:rPr>
          <w:rFonts w:ascii="Arial" w:hAnsi="Arial" w:eastAsia="Arial" w:cs="Arial"/>
          <w:sz w:val="26"/>
          <w:szCs w:val="26"/>
        </w:rPr>
      </w:pPr>
      <w:r>
        <w:rPr>
          <w:rFonts w:ascii="Arial" w:hAnsi="Arial"/>
          <w:b/>
          <w:bCs/>
          <w:sz w:val="26"/>
          <w:szCs w:val="26"/>
        </w:rPr>
        <w:t>Position:</w:t>
      </w:r>
      <w:r>
        <w:rPr>
          <w:rFonts w:ascii="Arial" w:hAnsi="Arial"/>
          <w:b/>
          <w:bCs/>
          <w:sz w:val="26"/>
          <w:szCs w:val="26"/>
        </w:rPr>
        <w:tab/>
      </w:r>
      <w:r>
        <w:rPr>
          <w:rFonts w:ascii="Arial" w:hAnsi="Arial"/>
          <w:sz w:val="26"/>
          <w:szCs w:val="26"/>
        </w:rPr>
        <w:t>Deputy President</w:t>
      </w:r>
    </w:p>
    <w:p w:rsidR="00B62616" w:rsidRDefault="00000000" w14:paraId="6664FA45" w14:textId="12AF5888">
      <w:pPr>
        <w:pStyle w:val="A"/>
        <w:spacing w:line="360" w:lineRule="auto"/>
        <w:rPr>
          <w:rFonts w:ascii="Arial" w:hAnsi="Arial" w:eastAsia="Arial" w:cs="Arial"/>
          <w:b/>
          <w:bCs/>
          <w:sz w:val="36"/>
          <w:szCs w:val="36"/>
        </w:rPr>
      </w:pPr>
      <w:r>
        <w:rPr>
          <w:noProof/>
        </w:rPr>
        <mc:AlternateContent>
          <mc:Choice Requires="wps">
            <w:drawing>
              <wp:anchor distT="0" distB="0" distL="0" distR="0" simplePos="0" relativeHeight="251659264" behindDoc="0" locked="0" layoutInCell="1" allowOverlap="1" wp14:anchorId="579DD823" wp14:editId="5D798BD5">
                <wp:simplePos x="0" y="0"/>
                <wp:positionH relativeFrom="column">
                  <wp:posOffset>57114</wp:posOffset>
                </wp:positionH>
                <wp:positionV relativeFrom="line">
                  <wp:posOffset>120649</wp:posOffset>
                </wp:positionV>
                <wp:extent cx="6642101" cy="12701"/>
                <wp:effectExtent l="0" t="0" r="0" b="0"/>
                <wp:wrapNone/>
                <wp:docPr id="1073741826" name="officeArt object" descr="Straight Arrow Connector 1"/>
                <wp:cNvGraphicFramePr/>
                <a:graphic xmlns:a="http://schemas.openxmlformats.org/drawingml/2006/main">
                  <a:graphicData uri="http://schemas.microsoft.com/office/word/2010/wordprocessingShape">
                    <wps:wsp>
                      <wps:cNvCnPr/>
                      <wps:spPr>
                        <a:xfrm>
                          <a:off x="0" y="0"/>
                          <a:ext cx="6642101" cy="12701"/>
                        </a:xfrm>
                        <a:prstGeom prst="line">
                          <a:avLst/>
                        </a:prstGeom>
                        <a:noFill/>
                        <a:ln w="12700" cap="flat">
                          <a:solidFill>
                            <a:srgbClr val="000000"/>
                          </a:solidFill>
                          <a:prstDash val="solid"/>
                          <a:round/>
                        </a:ln>
                        <a:effectLst/>
                      </wps:spPr>
                      <wps:bodyPr/>
                    </wps:wsp>
                  </a:graphicData>
                </a:graphic>
              </wp:anchor>
            </w:drawing>
          </mc:Choice>
          <mc:Fallback>
            <w:pict w14:anchorId="0C5D1DE4">
              <v:line id="_x0000_s1026" style="visibility:visible;position:absolute;margin-left:4.5pt;margin-top:9.5pt;width:523.0pt;height:1.0pt;z-index:251659264;mso-position-horizontal:absolute;mso-position-horizontal-relative:text;mso-position-vertical:absolute;mso-position-vertical-relative:line;mso-wrap-distance-left:0.0pt;mso-wrap-distance-top:0.0pt;mso-wrap-distance-right:0.0pt;mso-wrap-distance-bottom:0.0pt;">
                <v:fill on="f"/>
                <v:stroke weight="1.0pt" color="#000000" opacity="100.0%" linestyle="single" joinstyle="round" endcap="flat" dashstyle="solid" filltype="solid" startarrow="none" startarrowwidth="medium" startarrowlength="medium" endarrow="none" endarrowwidth="medium" endarrowlength="medium"/>
                <w10:wrap type="none" side="bothSides" anchorx="text"/>
              </v:line>
            </w:pict>
          </mc:Fallback>
        </mc:AlternateContent>
      </w:r>
    </w:p>
    <w:p w:rsidR="00B62616" w:rsidRDefault="00000000" w14:paraId="4AE22080" w14:textId="77777777">
      <w:pPr>
        <w:pStyle w:val="A"/>
        <w:spacing w:line="360" w:lineRule="auto"/>
        <w:rPr>
          <w:rFonts w:ascii="Arial" w:hAnsi="Arial" w:eastAsia="Arial" w:cs="Arial"/>
          <w:b/>
          <w:bCs/>
          <w:color w:val="31849B"/>
          <w:sz w:val="28"/>
          <w:szCs w:val="28"/>
          <w:u w:color="31849B"/>
          <w:lang w:val="fr-FR"/>
        </w:rPr>
      </w:pPr>
      <w:r>
        <w:rPr>
          <w:rFonts w:ascii="Arial" w:hAnsi="Arial"/>
          <w:b/>
          <w:bCs/>
          <w:color w:val="31849B"/>
          <w:sz w:val="28"/>
          <w:szCs w:val="28"/>
          <w:u w:color="31849B"/>
          <w:lang w:val="fr-FR"/>
        </w:rPr>
        <w:t>Introduction</w:t>
      </w:r>
    </w:p>
    <w:p w:rsidRPr="00E40783" w:rsidR="00B62616" w:rsidP="00E40783" w:rsidRDefault="00000000" w14:paraId="572B7FD7" w14:textId="1CE62A96">
      <w:pPr>
        <w:pStyle w:val="AA"/>
        <w:suppressAutoHyphens/>
        <w:spacing w:before="0" w:after="240" w:line="300" w:lineRule="auto"/>
        <w:rPr>
          <w:rFonts w:ascii="Arial" w:hAnsi="Arial" w:eastAsia="Arial" w:cs="Arial"/>
          <w:sz w:val="22"/>
          <w:szCs w:val="22"/>
        </w:rPr>
      </w:pPr>
      <w:r>
        <w:rPr>
          <w:rFonts w:ascii="Arial" w:hAnsi="Arial" w:eastAsia="Arial" w:cs="Arial"/>
          <w:color w:val="31849B"/>
          <w:sz w:val="22"/>
          <w:szCs w:val="22"/>
          <w:u w:color="31849B"/>
        </w:rPr>
        <w:tab/>
      </w:r>
      <w:r>
        <w:rPr>
          <w:rFonts w:ascii="Arial" w:hAnsi="Arial"/>
          <w:sz w:val="22"/>
          <w:szCs w:val="22"/>
        </w:rPr>
        <w:t>Urbanization has emerged as one of the five primary drivers of environmental change in the 21st century that is shaping economic, social, and ecological transformation worldwide. Cities now produce about 70% of global carbon dioxide emissions while occupying only 3% of the Earth’s surface. As of 2030, urban land conversion is expected to increase by 1.2 million km per squared globally in the first third of this century (UN-Habitat, 2023). Although urbanization has facilitated increased economic growth and development, it has concurrently exerted adverse effects on the environment. The damages include air pollution from vehicles and industries, greenhouse gas emissions contributing to climate change, biodiversity loss due to habitat destruction for urban expansion, and widespread deforestation to accommodate expanding population. The consequences of this degradation affect human health and ecosystem stability. However, the difficulty in mitigating these impacts is further exacerbated by sectionalism, where countries prioritize their national interests over global corporations</w:t>
      </w:r>
      <w:r>
        <w:rPr>
          <w:rFonts w:ascii="Arial" w:hAnsi="Arial" w:eastAsia="Arial" w:cs="Arial"/>
          <w:b/>
          <w:bCs/>
          <w:color w:val="31849B"/>
          <w:u w:color="31849B"/>
        </w:rPr>
        <w:br/>
      </w:r>
    </w:p>
    <w:p w:rsidR="00B62616" w:rsidRDefault="00000000" w14:paraId="3AD44A3A" w14:textId="77777777">
      <w:pPr>
        <w:pStyle w:val="A"/>
        <w:spacing w:line="360" w:lineRule="auto"/>
        <w:rPr>
          <w:rFonts w:ascii="Arial" w:hAnsi="Arial" w:eastAsia="Arial" w:cs="Arial"/>
          <w:b/>
          <w:bCs/>
          <w:color w:val="31849B"/>
          <w:sz w:val="28"/>
          <w:szCs w:val="28"/>
          <w:u w:color="31849B"/>
        </w:rPr>
      </w:pPr>
      <w:r>
        <w:rPr>
          <w:rFonts w:ascii="Arial" w:hAnsi="Arial"/>
          <w:b/>
          <w:bCs/>
          <w:color w:val="31849B"/>
          <w:sz w:val="28"/>
          <w:szCs w:val="28"/>
          <w:u w:color="31849B"/>
        </w:rPr>
        <w:t>Definition of Key Terms</w:t>
      </w:r>
    </w:p>
    <w:p w:rsidR="00B62616" w:rsidRDefault="00000000" w14:paraId="7D3054DB" w14:textId="44FC8BB1">
      <w:pPr>
        <w:pStyle w:val="A"/>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Sectionalism</w:t>
      </w:r>
    </w:p>
    <w:p w:rsidR="00B62616" w:rsidRDefault="00000000" w14:paraId="423441D5" w14:textId="77777777">
      <w:pPr>
        <w:pStyle w:val="A"/>
        <w:spacing w:line="360" w:lineRule="auto"/>
        <w:ind w:left="426"/>
        <w:rPr>
          <w:rFonts w:ascii="Arial" w:hAnsi="Arial" w:eastAsia="Arial" w:cs="Arial"/>
          <w:sz w:val="22"/>
          <w:szCs w:val="22"/>
        </w:rPr>
      </w:pPr>
      <w:r>
        <w:rPr>
          <w:rFonts w:ascii="Arial" w:hAnsi="Arial"/>
          <w:sz w:val="22"/>
          <w:szCs w:val="22"/>
        </w:rPr>
        <w:t>The prioritization of local, regional, or national interests over broader, collective goals, often resulting in fragmented or ineffective responses to global challenges. It’s associated with belief that different regions of a country have unique characteristics and values. As nations focus on short-term economic gains, cooperation on SDG weakens and result for better solutions became harder.</w:t>
      </w:r>
    </w:p>
    <w:p w:rsidR="00B62616" w:rsidRDefault="00000000" w14:paraId="69CE4DFC" w14:textId="2787DEEB">
      <w:pPr>
        <w:pStyle w:val="A"/>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 xml:space="preserve">Urbanization </w:t>
      </w:r>
    </w:p>
    <w:p w:rsidR="00B62616" w:rsidRDefault="00000000" w14:paraId="2A92B2EF" w14:textId="77777777">
      <w:pPr>
        <w:pStyle w:val="A"/>
        <w:spacing w:line="360" w:lineRule="auto"/>
        <w:ind w:left="426"/>
        <w:rPr>
          <w:rFonts w:ascii="Arial" w:hAnsi="Arial" w:eastAsia="Arial" w:cs="Arial"/>
          <w:sz w:val="22"/>
          <w:szCs w:val="22"/>
        </w:rPr>
      </w:pPr>
      <w:r>
        <w:rPr>
          <w:rFonts w:ascii="Arial" w:hAnsi="Arial"/>
          <w:sz w:val="22"/>
          <w:szCs w:val="22"/>
        </w:rPr>
        <w:t xml:space="preserve">The process of which increasing numbers of people migrate </w:t>
      </w:r>
      <w:proofErr w:type="spellStart"/>
      <w:r>
        <w:rPr>
          <w:rFonts w:ascii="Arial" w:hAnsi="Arial"/>
          <w:sz w:val="22"/>
          <w:szCs w:val="22"/>
        </w:rPr>
        <w:t>form</w:t>
      </w:r>
      <w:proofErr w:type="spellEnd"/>
      <w:r>
        <w:rPr>
          <w:rFonts w:ascii="Arial" w:hAnsi="Arial"/>
          <w:sz w:val="22"/>
          <w:szCs w:val="22"/>
        </w:rPr>
        <w:t xml:space="preserve"> rural to urban areas, leading to the growth and expansion of cities. This trend has created megacities like Tokyo and Mumbai. This growth in such cities amplifies the challenges on managing limited resources and social inequality. And in all of them make mitigating the neg impacts increasingly difficult.</w:t>
      </w:r>
      <w:r>
        <w:rPr>
          <w:rFonts w:ascii="Arial" w:hAnsi="Arial" w:eastAsia="Arial" w:cs="Arial"/>
          <w:sz w:val="22"/>
          <w:szCs w:val="22"/>
        </w:rPr>
        <w:br/>
      </w:r>
    </w:p>
    <w:p w:rsidR="00B62616" w:rsidRDefault="00000000" w14:paraId="58E7545D" w14:textId="77777777">
      <w:pPr>
        <w:pStyle w:val="A"/>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 xml:space="preserve">Sustainable Urban Planning  </w:t>
      </w:r>
    </w:p>
    <w:p w:rsidR="00B62616" w:rsidP="00E40783" w:rsidRDefault="00000000" w14:paraId="30B3E0CA" w14:textId="52EFC6B2">
      <w:pPr>
        <w:pStyle w:val="A"/>
        <w:spacing w:line="360" w:lineRule="auto"/>
        <w:ind w:left="426"/>
        <w:rPr>
          <w:rFonts w:ascii="Arial" w:hAnsi="Arial" w:eastAsia="Arial" w:cs="Arial"/>
          <w:sz w:val="22"/>
          <w:szCs w:val="22"/>
        </w:rPr>
      </w:pPr>
      <w:r>
        <w:rPr>
          <w:rFonts w:ascii="Arial" w:hAnsi="Arial"/>
          <w:sz w:val="22"/>
          <w:szCs w:val="22"/>
        </w:rPr>
        <w:t>Urban development strategies that balance economic, social, and environmental needs to ensure long-term viability and resilience. In the context of urbanization, sustainable urban planning aims to create cities that are environmentally sound, socially equitable, and economically viable. Moreover, it is to address issues like resource consumption, waste management, and public transport to minimize negative environmental impacts. For example, Copenhagen adapted a new bicycle infrastructure in 2012 by making the city CO2 neutral and reduce serious injuries by 70% (C40 Cities). But remember that without careful planning, the pressures of urban growth can overwhelm resources.</w:t>
      </w:r>
    </w:p>
    <w:p w:rsidR="00B62616" w:rsidRDefault="00000000" w14:paraId="7FC3721B" w14:textId="77777777">
      <w:pPr>
        <w:pStyle w:val="A"/>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 xml:space="preserve">Green Infrastructure </w:t>
      </w:r>
    </w:p>
    <w:p w:rsidR="00B62616" w:rsidP="00E40783" w:rsidRDefault="00000000" w14:paraId="21A522D7" w14:textId="19DAD24D">
      <w:pPr>
        <w:pStyle w:val="A"/>
        <w:spacing w:line="360" w:lineRule="auto"/>
        <w:ind w:left="426"/>
        <w:rPr>
          <w:rFonts w:ascii="Arial" w:hAnsi="Arial" w:eastAsia="Arial" w:cs="Arial"/>
          <w:sz w:val="22"/>
          <w:szCs w:val="22"/>
        </w:rPr>
      </w:pPr>
      <w:r>
        <w:rPr>
          <w:rFonts w:ascii="Arial" w:hAnsi="Arial"/>
          <w:sz w:val="22"/>
          <w:szCs w:val="22"/>
        </w:rPr>
        <w:t>Networks of natural areas within urban environments that provide ecosystem services and promote environmental health. Green infrastructure can include parks, green roofs, and permeable pavements that help manage stormwater, reduce the urban heat island effect, and improve air quality, thereby mitigating some of the environmental degradation related with dense urban development.</w:t>
      </w:r>
    </w:p>
    <w:p w:rsidR="00B62616" w:rsidRDefault="00000000" w14:paraId="57364C19" w14:textId="77777777">
      <w:pPr>
        <w:pStyle w:val="A"/>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 xml:space="preserve">Sustainable Development Goals </w:t>
      </w:r>
    </w:p>
    <w:p w:rsidR="00B62616" w:rsidP="00E40783" w:rsidRDefault="00000000" w14:paraId="2DE92C5A" w14:textId="31EC43D4">
      <w:pPr>
        <w:pStyle w:val="A"/>
        <w:spacing w:line="360" w:lineRule="auto"/>
        <w:ind w:left="426"/>
        <w:rPr>
          <w:rFonts w:ascii="Arial" w:hAnsi="Arial" w:eastAsia="Arial" w:cs="Arial"/>
          <w:sz w:val="22"/>
          <w:szCs w:val="22"/>
        </w:rPr>
      </w:pPr>
      <w:r>
        <w:rPr>
          <w:rFonts w:ascii="Arial" w:hAnsi="Arial"/>
          <w:sz w:val="22"/>
          <w:szCs w:val="22"/>
        </w:rPr>
        <w:t>SDGs are a set of 17 global goals adopted by the United Nations in 2015 as a universal call to action to protect the planet and ensure that all people enjoy peace and prosperity by 2030. Goals 11 and 13, specifically, focus on environmental sustainability and climate action which are directly impacted by urbanization trends and require coordinated global efforts to address.</w:t>
      </w:r>
    </w:p>
    <w:p w:rsidR="00B62616" w:rsidRDefault="00B62616" w14:paraId="65574126" w14:textId="77777777">
      <w:pPr>
        <w:pStyle w:val="A"/>
        <w:spacing w:line="360" w:lineRule="auto"/>
        <w:rPr>
          <w:rFonts w:ascii="Arial" w:hAnsi="Arial" w:eastAsia="Arial" w:cs="Arial"/>
          <w:sz w:val="22"/>
          <w:szCs w:val="22"/>
        </w:rPr>
      </w:pPr>
    </w:p>
    <w:p w:rsidR="00B62616" w:rsidRDefault="00000000" w14:paraId="5F6B4172" w14:textId="77777777">
      <w:pPr>
        <w:pStyle w:val="A"/>
        <w:spacing w:line="360" w:lineRule="auto"/>
        <w:rPr>
          <w:rFonts w:ascii="Arial" w:hAnsi="Arial" w:eastAsia="Arial" w:cs="Arial"/>
          <w:b/>
          <w:bCs/>
          <w:color w:val="31849B"/>
          <w:sz w:val="22"/>
          <w:szCs w:val="22"/>
          <w:u w:color="31849B"/>
        </w:rPr>
      </w:pPr>
      <w:r>
        <w:rPr>
          <w:rFonts w:ascii="Arial" w:hAnsi="Arial"/>
          <w:b/>
          <w:bCs/>
          <w:color w:val="31849B"/>
          <w:sz w:val="28"/>
          <w:szCs w:val="28"/>
          <w:u w:color="31849B"/>
        </w:rPr>
        <w:t>Background Information</w:t>
      </w:r>
    </w:p>
    <w:p w:rsidR="00B62616" w:rsidRDefault="00000000" w14:paraId="30BA88CF" w14:textId="77777777">
      <w:pPr>
        <w:pStyle w:val="A"/>
        <w:tabs>
          <w:tab w:val="left" w:pos="8336"/>
        </w:tabs>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Cause of Rapid Urbanization</w:t>
      </w:r>
    </w:p>
    <w:p w:rsidR="00B62616" w:rsidRDefault="00000000" w14:paraId="7F1F313B" w14:textId="77777777">
      <w:pPr>
        <w:pStyle w:val="A"/>
        <w:spacing w:line="360" w:lineRule="auto"/>
        <w:rPr>
          <w:rFonts w:ascii="Arial" w:hAnsi="Arial" w:eastAsia="Arial" w:cs="Arial"/>
          <w:sz w:val="22"/>
          <w:szCs w:val="22"/>
        </w:rPr>
      </w:pPr>
      <w:r>
        <w:rPr>
          <w:rFonts w:ascii="Arial" w:hAnsi="Arial" w:eastAsia="Arial" w:cs="Arial"/>
          <w:b/>
          <w:bCs/>
          <w:color w:val="4BACC6"/>
          <w:sz w:val="22"/>
          <w:szCs w:val="22"/>
          <w:u w:color="4BACC6"/>
        </w:rPr>
        <w:tab/>
      </w:r>
      <w:r>
        <w:rPr>
          <w:rFonts w:ascii="Arial" w:hAnsi="Arial"/>
          <w:sz w:val="22"/>
          <w:szCs w:val="22"/>
        </w:rPr>
        <w:t xml:space="preserve">Rapid urbanization is driven by a combination of economic opportunities in urban areas and rural to urban migration. These factors are often intertwined with people moving to cities seeking better jobs, improved living standards, and access to education and healthcare. </w:t>
      </w:r>
    </w:p>
    <w:p w:rsidR="00B62616" w:rsidRDefault="00000000" w14:paraId="6AB0A1F0" w14:textId="77777777">
      <w:pPr>
        <w:pStyle w:val="A"/>
        <w:spacing w:line="360" w:lineRule="auto"/>
        <w:rPr>
          <w:rFonts w:ascii="Arial" w:hAnsi="Arial" w:eastAsia="Arial" w:cs="Arial"/>
          <w:sz w:val="22"/>
          <w:szCs w:val="22"/>
        </w:rPr>
      </w:pPr>
      <w:r>
        <w:rPr>
          <w:rFonts w:ascii="Arial" w:hAnsi="Arial" w:eastAsia="Arial" w:cs="Arial"/>
          <w:sz w:val="22"/>
          <w:szCs w:val="22"/>
        </w:rPr>
        <w:tab/>
      </w:r>
      <w:r>
        <w:rPr>
          <w:rFonts w:ascii="Arial" w:hAnsi="Arial"/>
          <w:sz w:val="22"/>
          <w:szCs w:val="22"/>
        </w:rPr>
        <w:t>Specifically, urban areas often have better healthcare facilities, attracting families and individuals seeking better opportunities for their children and access to advanced medical care. Cities offer more business opportunities and higher concentration of wealth. This acts as a powerful incentive for migration that leads to economic growth and intensifies the demand for housing and resources. Along with that, advancements in infrastructure and technology made it easier to build and expand urban environments which have made it easier for cities to accommodate larger populations.</w:t>
      </w:r>
    </w:p>
    <w:p w:rsidR="00B62616" w:rsidRDefault="00000000" w14:paraId="1541579F" w14:textId="77777777">
      <w:pPr>
        <w:pStyle w:val="A"/>
        <w:spacing w:line="360" w:lineRule="auto"/>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 xml:space="preserve">This trend is expected to continue with more people worldwide preferring to live in urban cities than </w:t>
      </w:r>
      <w:proofErr w:type="spellStart"/>
      <w:r>
        <w:rPr>
          <w:rFonts w:ascii="Arial" w:hAnsi="Arial" w:eastAsia="Arial" w:cs="Arial"/>
          <w:sz w:val="22"/>
          <w:szCs w:val="22"/>
        </w:rPr>
        <w:t>rurals</w:t>
      </w:r>
      <w:proofErr w:type="spellEnd"/>
      <w:r>
        <w:rPr>
          <w:rFonts w:ascii="Arial" w:hAnsi="Arial" w:eastAsia="Arial" w:cs="Arial"/>
          <w:sz w:val="22"/>
          <w:szCs w:val="22"/>
        </w:rPr>
        <w:t xml:space="preserve">. Policies like smart urban growth strategies, investment in transportation, and improved </w:t>
      </w:r>
      <w:r>
        <w:rPr>
          <w:rFonts w:ascii="Arial" w:hAnsi="Arial" w:eastAsia="Arial" w:cs="Arial"/>
          <w:sz w:val="22"/>
          <w:szCs w:val="22"/>
        </w:rPr>
        <w:t xml:space="preserve">housings are needed to avoid worsening damages. Furthermore, factors such as globalization and difference in historical actions influence how urbanization impacts in different regions. For instance, some industrialized countries experienced rapid urban growth during early industrialization, whereas many developing nations face challenges with urban sprawl. Thus, understanding these variations is also important to conclusive solutions.  </w:t>
      </w:r>
    </w:p>
    <w:p w:rsidR="00B62616" w:rsidRDefault="00000000" w14:paraId="06CB23AA" w14:textId="77777777">
      <w:pPr>
        <w:pStyle w:val="A"/>
        <w:spacing w:line="360" w:lineRule="auto"/>
        <w:rPr>
          <w:rFonts w:ascii="Arial" w:hAnsi="Arial" w:eastAsia="Arial" w:cs="Arial"/>
          <w:b/>
          <w:bCs/>
          <w:i/>
          <w:iCs/>
          <w:color w:val="93CDDC"/>
          <w:sz w:val="22"/>
          <w:szCs w:val="22"/>
          <w:u w:color="42A7CB"/>
        </w:rPr>
      </w:pPr>
      <w:r>
        <w:rPr>
          <w:rFonts w:ascii="Arial" w:hAnsi="Arial" w:eastAsia="Arial" w:cs="Arial"/>
          <w:b/>
          <w:bCs/>
          <w:i/>
          <w:iCs/>
          <w:color w:val="93CDDC"/>
          <w:sz w:val="22"/>
          <w:szCs w:val="22"/>
          <w:u w:color="42A7CB"/>
        </w:rPr>
        <w:tab/>
      </w:r>
      <w:r>
        <w:rPr>
          <w:rFonts w:ascii="Arial" w:hAnsi="Arial"/>
          <w:b/>
          <w:bCs/>
          <w:i/>
          <w:iCs/>
          <w:color w:val="93CDDC"/>
          <w:sz w:val="22"/>
          <w:szCs w:val="22"/>
          <w:u w:color="42A7CB"/>
        </w:rPr>
        <w:t xml:space="preserve">Environmental Impacts </w:t>
      </w:r>
    </w:p>
    <w:p w:rsidR="00B62616" w:rsidRDefault="00000000" w14:paraId="3A23ED60" w14:textId="77777777">
      <w:pPr>
        <w:pStyle w:val="A"/>
        <w:spacing w:line="360" w:lineRule="auto"/>
        <w:ind w:left="720"/>
        <w:rPr>
          <w:rFonts w:ascii="Arial" w:hAnsi="Arial" w:eastAsia="Arial" w:cs="Arial"/>
          <w:sz w:val="22"/>
          <w:szCs w:val="22"/>
          <w:u w:color="93CDDC"/>
        </w:rPr>
      </w:pPr>
      <w:r>
        <w:rPr>
          <w:rFonts w:ascii="Arial" w:hAnsi="Arial"/>
          <w:sz w:val="22"/>
          <w:szCs w:val="22"/>
          <w:u w:color="93CDDC"/>
        </w:rPr>
        <w:t xml:space="preserve">Increased Air and Water Pollution: The concentration of industries, vehicles, and dense populations in cities leads to higher emissions of pollutants. This can have significant long-term consequences, including respiratory illnesses, cardiovascular problems, and increased healthcare costs. For instance, the World Health Organization reports that air pollution contributes to about 7 million premature deaths worldwide every year. Also, contaminated water sources can lead to widespread health issues and strain local economies through increased treatment expenses. Particularly, waterborne pathogens in the US cause an estimated 7.15 million illnesses and 6630 deaths, resulting in $3.33 billion in direct health care costs (Kunz). </w:t>
      </w:r>
    </w:p>
    <w:p w:rsidR="00B62616" w:rsidRDefault="00000000" w14:paraId="0F5653B2" w14:textId="77777777">
      <w:pPr>
        <w:pStyle w:val="A"/>
        <w:spacing w:line="360" w:lineRule="auto"/>
        <w:ind w:left="720"/>
        <w:rPr>
          <w:rFonts w:ascii="Arial" w:hAnsi="Arial" w:eastAsia="Arial" w:cs="Arial"/>
          <w:sz w:val="22"/>
          <w:szCs w:val="22"/>
          <w:u w:color="93CDDC"/>
        </w:rPr>
      </w:pPr>
      <w:r>
        <w:rPr>
          <w:rFonts w:ascii="Arial" w:hAnsi="Arial"/>
          <w:sz w:val="22"/>
          <w:szCs w:val="22"/>
          <w:u w:color="93CDDC"/>
        </w:rPr>
        <w:t xml:space="preserve">Loss of biodiversity: Urban expansion destroys natural habitats by reducing species and </w:t>
      </w:r>
      <w:proofErr w:type="spellStart"/>
      <w:r>
        <w:rPr>
          <w:rFonts w:ascii="Arial" w:hAnsi="Arial"/>
          <w:sz w:val="22"/>
          <w:szCs w:val="22"/>
          <w:u w:color="93CDDC"/>
        </w:rPr>
        <w:t>increaseing</w:t>
      </w:r>
      <w:proofErr w:type="spellEnd"/>
      <w:r>
        <w:rPr>
          <w:rFonts w:ascii="Arial" w:hAnsi="Arial"/>
          <w:sz w:val="22"/>
          <w:szCs w:val="22"/>
          <w:u w:color="93CDDC"/>
        </w:rPr>
        <w:t xml:space="preserve"> extinction rates, which can be seen from that cities have cause more than 50% decline compared to natural habitats. This loss diminishes ecosystem services such as pollination and natural pest control which can negatively affect local agriculture and economies. Habitat fragmentation is a top drive of habitat loss about (&gt;5% of total loss) and driving at least one-quarter of net habitat loss of 10% with up to 855 species. </w:t>
      </w:r>
    </w:p>
    <w:p w:rsidR="00B62616" w:rsidRDefault="00000000" w14:paraId="7DD582A4" w14:textId="77777777">
      <w:pPr>
        <w:pStyle w:val="A"/>
        <w:spacing w:line="360" w:lineRule="auto"/>
        <w:ind w:left="720"/>
        <w:rPr>
          <w:rFonts w:ascii="Arial" w:hAnsi="Arial" w:eastAsia="Arial" w:cs="Arial"/>
          <w:sz w:val="22"/>
          <w:szCs w:val="22"/>
          <w:u w:color="93CDDC"/>
        </w:rPr>
      </w:pPr>
      <w:r>
        <w:rPr>
          <w:rFonts w:ascii="Arial" w:hAnsi="Arial"/>
          <w:sz w:val="22"/>
          <w:szCs w:val="22"/>
          <w:u w:color="93CDDC"/>
        </w:rPr>
        <w:t>Growth in waste production and inadequate waste management: Cities generate vast amounts of hazardous waste, producing 2.24 billion tons of solid waste each year. In many cases, waste management infrastructure fails to keep pace with population growth therefore leading to land and water contamination (12.7 million metric tons of plastic entering oceans annually).</w:t>
      </w:r>
    </w:p>
    <w:p w:rsidR="00B62616" w:rsidRDefault="00000000" w14:paraId="0301C983" w14:textId="77777777">
      <w:pPr>
        <w:pStyle w:val="A"/>
        <w:spacing w:line="360" w:lineRule="auto"/>
        <w:ind w:left="720"/>
        <w:rPr>
          <w:sz w:val="22"/>
          <w:szCs w:val="22"/>
        </w:rPr>
      </w:pPr>
      <w:r>
        <w:rPr>
          <w:rFonts w:ascii="Arial" w:hAnsi="Arial"/>
          <w:sz w:val="22"/>
          <w:szCs w:val="22"/>
          <w:u w:color="93CDDC"/>
        </w:rPr>
        <w:t>Strain on Resources: A growing number of households lead to shortages and over-extraction of limited resources like water and energy systems. This can result in economic instability especially in regions already facing resource scarcity. For instance, Cape Town with 4.6 million residents faced severe water shortages in 2018 due to overuse (Hill-Lewis). Cities also consume large amounts of non-renewable energy, especially for transportation and heating.</w:t>
      </w:r>
    </w:p>
    <w:p w:rsidR="00B62616" w:rsidRDefault="00000000" w14:paraId="769C6AB2" w14:textId="77777777">
      <w:pPr>
        <w:pStyle w:val="A"/>
        <w:tabs>
          <w:tab w:val="left" w:pos="8336"/>
        </w:tabs>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Sectionalism’s Role</w:t>
      </w:r>
    </w:p>
    <w:p w:rsidR="00B62616" w:rsidRDefault="00000000" w14:paraId="69B63323" w14:textId="77777777">
      <w:pPr>
        <w:pStyle w:val="A"/>
        <w:spacing w:line="360" w:lineRule="auto"/>
        <w:ind w:left="720"/>
        <w:rPr>
          <w:rFonts w:ascii="Arial" w:hAnsi="Arial" w:eastAsia="Arial" w:cs="Arial"/>
          <w:sz w:val="22"/>
          <w:szCs w:val="22"/>
        </w:rPr>
      </w:pPr>
      <w:r>
        <w:rPr>
          <w:rFonts w:ascii="Arial" w:hAnsi="Arial" w:eastAsia="Arial" w:cs="Arial"/>
          <w:b/>
          <w:bCs/>
          <w:color w:val="4BACC6"/>
          <w:sz w:val="22"/>
          <w:szCs w:val="22"/>
          <w:u w:color="4BACC6"/>
        </w:rPr>
        <w:tab/>
      </w:r>
      <w:r>
        <w:rPr>
          <w:rFonts w:ascii="Arial" w:hAnsi="Arial"/>
          <w:sz w:val="22"/>
          <w:szCs w:val="22"/>
        </w:rPr>
        <w:t xml:space="preserve">Sectionalism has significantly worsened environmental challenges associated with rapid urbanization. By encouraging nations to prioritize short-term economic gains, this leads to the neglect of environmental regulations and exacerbates existing inequalities. This impedes the dissemination and adoption of sustainable solutions and makes it more difficult for international organizations to address the issues. For instance, the failure of some nations to fully commit to </w:t>
      </w:r>
      <w:r>
        <w:rPr>
          <w:rFonts w:ascii="Arial" w:hAnsi="Arial"/>
          <w:sz w:val="22"/>
          <w:szCs w:val="22"/>
        </w:rPr>
        <w:t xml:space="preserve">international climate agreements due to perceived national economic interests, a manifestation of sectionalism, directly hinders global efforts to mitigate the environmental degradation caused by urbanization. This can result as a reluctance to invest in green infrastructure or adopt stricter emissions standards even when the long-term benefits of such actions are clear.   </w:t>
      </w:r>
    </w:p>
    <w:p w:rsidR="00B62616" w:rsidRDefault="00000000" w14:paraId="0DD4BBE1" w14:textId="77777777">
      <w:pPr>
        <w:pStyle w:val="A"/>
        <w:spacing w:line="360" w:lineRule="auto"/>
        <w:ind w:left="720"/>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 xml:space="preserve">A notable case is the United </w:t>
      </w:r>
      <w:r>
        <w:rPr>
          <w:rFonts w:ascii="Arial" w:hAnsi="Arial"/>
          <w:sz w:val="22"/>
          <w:szCs w:val="22"/>
        </w:rPr>
        <w:t>States</w:t>
      </w:r>
      <w:r>
        <w:rPr>
          <w:rFonts w:ascii="Arial Unicode MS" w:hAnsi="Arial Unicode MS"/>
          <w:sz w:val="22"/>
          <w:szCs w:val="22"/>
          <w:rtl/>
          <w:lang w:val="ar-SA"/>
        </w:rPr>
        <w:t xml:space="preserve">’ </w:t>
      </w:r>
      <w:r>
        <w:rPr>
          <w:rFonts w:ascii="Arial" w:hAnsi="Arial"/>
          <w:sz w:val="22"/>
          <w:szCs w:val="22"/>
        </w:rPr>
        <w:t>rejection of the Kyoto Protocol in 2001, showing concerns that the treaty placed disproportionate economic burdens on developed countries compared to large developing economies like China and India. This act prioritized national economic interests over global climate issues, which weakened the treaty</w:t>
      </w:r>
      <w:r>
        <w:rPr>
          <w:rFonts w:ascii="Arial Unicode MS" w:hAnsi="Arial Unicode MS"/>
          <w:sz w:val="22"/>
          <w:szCs w:val="22"/>
          <w:rtl/>
          <w:lang w:val="ar-SA"/>
        </w:rPr>
        <w:t>’</w:t>
      </w:r>
      <w:r>
        <w:rPr>
          <w:rFonts w:ascii="Arial" w:hAnsi="Arial"/>
          <w:sz w:val="22"/>
          <w:szCs w:val="22"/>
        </w:rPr>
        <w:t xml:space="preserve">s implementation. Likewise, after the Copenhagen climate conference several countries—such as Canada, Japan, and Russia—declined to take on further emission reduction targets unless there was equal action from large developing nations. This division prevents organizations to promote controls worldwide regarding all aspects of this issue. </w:t>
      </w:r>
    </w:p>
    <w:p w:rsidR="00B62616" w:rsidP="00E40783" w:rsidRDefault="00B62616" w14:paraId="507C0409" w14:textId="3DEC26BB">
      <w:pPr>
        <w:pStyle w:val="A"/>
        <w:spacing w:line="360" w:lineRule="auto"/>
        <w:rPr>
          <w:rFonts w:ascii="Arial" w:hAnsi="Arial" w:eastAsia="Arial" w:cs="Arial"/>
          <w:sz w:val="22"/>
          <w:szCs w:val="22"/>
        </w:rPr>
      </w:pPr>
    </w:p>
    <w:p w:rsidR="00B62616" w:rsidRDefault="00000000" w14:paraId="40B3B605" w14:textId="77777777">
      <w:pPr>
        <w:pStyle w:val="A"/>
        <w:spacing w:line="360" w:lineRule="auto"/>
        <w:rPr>
          <w:rFonts w:ascii="Arial" w:hAnsi="Arial" w:eastAsia="Arial" w:cs="Arial"/>
          <w:b/>
          <w:bCs/>
          <w:color w:val="31849B"/>
          <w:sz w:val="28"/>
          <w:szCs w:val="28"/>
          <w:u w:color="31849B"/>
        </w:rPr>
      </w:pPr>
      <w:r>
        <w:rPr>
          <w:rFonts w:ascii="Arial" w:hAnsi="Arial"/>
          <w:b/>
          <w:bCs/>
          <w:color w:val="31849B"/>
          <w:sz w:val="28"/>
          <w:szCs w:val="28"/>
          <w:u w:color="31849B"/>
        </w:rPr>
        <w:t>Major Countries and Organizations Involved</w:t>
      </w:r>
    </w:p>
    <w:p w:rsidR="00B62616" w:rsidRDefault="00000000" w14:paraId="495AB51C" w14:textId="77777777">
      <w:pPr>
        <w:pStyle w:val="A"/>
        <w:tabs>
          <w:tab w:val="left" w:pos="8336"/>
        </w:tabs>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 xml:space="preserve">UNEP (United Nations Environmental </w:t>
      </w:r>
      <w:proofErr w:type="spellStart"/>
      <w:r>
        <w:rPr>
          <w:rFonts w:ascii="Arial" w:hAnsi="Arial"/>
          <w:b/>
          <w:bCs/>
          <w:color w:val="4BACC6"/>
          <w:sz w:val="22"/>
          <w:szCs w:val="22"/>
          <w:u w:color="4BACC6"/>
        </w:rPr>
        <w:t>Programme</w:t>
      </w:r>
      <w:proofErr w:type="spellEnd"/>
      <w:r>
        <w:rPr>
          <w:rFonts w:ascii="Arial" w:hAnsi="Arial"/>
          <w:b/>
          <w:bCs/>
          <w:color w:val="4BACC6"/>
          <w:sz w:val="22"/>
          <w:szCs w:val="22"/>
          <w:u w:color="4BACC6"/>
        </w:rPr>
        <w:t>)</w:t>
      </w:r>
    </w:p>
    <w:p w:rsidR="00B62616" w:rsidRDefault="00000000" w14:paraId="10A3B780" w14:textId="7A007C44">
      <w:pPr>
        <w:pStyle w:val="A"/>
        <w:spacing w:line="360" w:lineRule="auto"/>
        <w:rPr>
          <w:rFonts w:ascii="Arial" w:hAnsi="Arial" w:eastAsia="Arial" w:cs="Arial"/>
          <w:sz w:val="22"/>
          <w:szCs w:val="22"/>
        </w:rPr>
      </w:pPr>
      <w:r>
        <w:rPr>
          <w:rFonts w:ascii="Arial" w:hAnsi="Arial" w:eastAsia="Arial" w:cs="Arial"/>
          <w:b/>
          <w:bCs/>
          <w:color w:val="4BACC6"/>
          <w:sz w:val="22"/>
          <w:szCs w:val="22"/>
          <w:u w:color="4BACC6"/>
        </w:rPr>
        <w:tab/>
      </w:r>
      <w:r>
        <w:rPr>
          <w:rFonts w:ascii="Arial" w:hAnsi="Arial"/>
          <w:sz w:val="22"/>
          <w:szCs w:val="22"/>
        </w:rPr>
        <w:t xml:space="preserve">UNEP works closely with national and local governments to address urban environmental challenges by providing technical assistance and policy advice. They develop evaluation tools, such as the Urban Nature-Based Solutions Tool. This tool allows cities to assess flood and drought risks, monitor urban heat islands, and track changes in green space. Furthermore, the organization promotes environmental planning using methods like Strategic Environmental Assessment (SEA) to help cities weigh t the impacts of different policies, set priorities, and monitor progress over time. </w:t>
      </w:r>
    </w:p>
    <w:p w:rsidR="00B62616" w:rsidRDefault="00000000" w14:paraId="73C36AFC" w14:textId="77777777">
      <w:pPr>
        <w:pStyle w:val="A"/>
        <w:tabs>
          <w:tab w:val="left" w:pos="8336"/>
        </w:tabs>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People’s Republic of China</w:t>
      </w:r>
    </w:p>
    <w:p w:rsidR="00B62616" w:rsidRDefault="00000000" w14:paraId="43D278CB" w14:textId="2427D6C9">
      <w:pPr>
        <w:pStyle w:val="A"/>
        <w:spacing w:line="360" w:lineRule="auto"/>
        <w:rPr>
          <w:rFonts w:ascii="Arial" w:hAnsi="Arial" w:eastAsia="Arial" w:cs="Arial"/>
          <w:sz w:val="22"/>
          <w:szCs w:val="22"/>
        </w:rPr>
      </w:pPr>
      <w:r>
        <w:rPr>
          <w:rFonts w:ascii="Arial" w:hAnsi="Arial" w:eastAsia="Arial" w:cs="Arial"/>
          <w:b/>
          <w:bCs/>
          <w:color w:val="4BACC6"/>
          <w:sz w:val="22"/>
          <w:szCs w:val="22"/>
          <w:u w:color="4BACC6"/>
        </w:rPr>
        <w:tab/>
      </w:r>
      <w:r>
        <w:rPr>
          <w:rFonts w:ascii="Arial" w:hAnsi="Arial"/>
          <w:sz w:val="22"/>
          <w:szCs w:val="22"/>
        </w:rPr>
        <w:t>As the world</w:t>
      </w:r>
      <w:r>
        <w:rPr>
          <w:rFonts w:ascii="Arial Unicode MS" w:hAnsi="Arial Unicode MS"/>
          <w:sz w:val="22"/>
          <w:szCs w:val="22"/>
          <w:rtl/>
          <w:lang w:val="ar-SA"/>
        </w:rPr>
        <w:t>’</w:t>
      </w:r>
      <w:r>
        <w:rPr>
          <w:rFonts w:ascii="Arial" w:hAnsi="Arial"/>
          <w:sz w:val="22"/>
          <w:szCs w:val="22"/>
        </w:rPr>
        <w:t xml:space="preserve">s most populated nation, China has experienced both benefits and severe costs of urbanization. The government has implemented large-scale urban development projects. Specifically, the current Five-Year Plan (2021-2025) targets reducing energy consumption and CO2 emissions per unit of GDP, increasing forest coverage, and improving city resilience against natural disasters. Another notable program was the Sponge City Program on 30 cities that promoted the use of permeable pavements, green roofs, and wetlands to collect rainwater and restore ecosystems. This method was able to improve drainage, filter out pollutants in a way that absorbs 70% of rainfall; later, SCP became a key national strategy in China. </w:t>
      </w:r>
    </w:p>
    <w:p w:rsidR="00B62616" w:rsidRDefault="00000000" w14:paraId="7C70D245" w14:textId="77777777">
      <w:pPr>
        <w:pStyle w:val="A"/>
        <w:tabs>
          <w:tab w:val="left" w:pos="8336"/>
        </w:tabs>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Brazil</w:t>
      </w:r>
    </w:p>
    <w:p w:rsidR="00B62616" w:rsidRDefault="00000000" w14:paraId="136BD03C" w14:textId="17EA0AE8">
      <w:pPr>
        <w:pStyle w:val="A"/>
        <w:spacing w:line="360" w:lineRule="auto"/>
        <w:rPr>
          <w:rFonts w:ascii="Arial" w:hAnsi="Arial" w:eastAsia="Arial" w:cs="Arial"/>
          <w:sz w:val="22"/>
          <w:szCs w:val="22"/>
        </w:rPr>
      </w:pPr>
      <w:r>
        <w:rPr>
          <w:rFonts w:ascii="Arial" w:hAnsi="Arial" w:eastAsia="Arial" w:cs="Arial"/>
          <w:b/>
          <w:bCs/>
          <w:color w:val="4BACC6"/>
          <w:sz w:val="22"/>
          <w:szCs w:val="22"/>
          <w:u w:color="4BACC6"/>
        </w:rPr>
        <w:tab/>
      </w:r>
      <w:r>
        <w:rPr>
          <w:rFonts w:ascii="Arial" w:hAnsi="Arial"/>
          <w:sz w:val="22"/>
          <w:szCs w:val="22"/>
        </w:rPr>
        <w:t xml:space="preserve"> As a rapidly urbanizing country in Latin America, cities such as Sao Paulo and Rio de Janeiro encounter deforestation, pollution, and social inequality. Brazil</w:t>
      </w:r>
      <w:r>
        <w:rPr>
          <w:rFonts w:ascii="Arial Unicode MS" w:hAnsi="Arial Unicode MS"/>
          <w:sz w:val="22"/>
          <w:szCs w:val="22"/>
          <w:rtl/>
          <w:lang w:val="ar-SA"/>
        </w:rPr>
        <w:t>’</w:t>
      </w:r>
      <w:r>
        <w:rPr>
          <w:rFonts w:ascii="Arial" w:hAnsi="Arial"/>
          <w:sz w:val="22"/>
          <w:szCs w:val="22"/>
        </w:rPr>
        <w:t xml:space="preserve">s experience with urban sustainability </w:t>
      </w:r>
      <w:r>
        <w:rPr>
          <w:rFonts w:ascii="Arial" w:hAnsi="Arial"/>
          <w:sz w:val="22"/>
          <w:szCs w:val="22"/>
        </w:rPr>
        <w:t xml:space="preserve">initiatives, like </w:t>
      </w:r>
      <w:r>
        <w:rPr>
          <w:rFonts w:ascii="Arial Unicode MS" w:hAnsi="Arial Unicode MS"/>
          <w:sz w:val="22"/>
          <w:szCs w:val="22"/>
          <w:rtl/>
          <w:lang w:val="ar-SA"/>
        </w:rPr>
        <w:t>“</w:t>
      </w:r>
      <w:r>
        <w:rPr>
          <w:rFonts w:ascii="Arial" w:hAnsi="Arial"/>
          <w:sz w:val="22"/>
          <w:szCs w:val="22"/>
          <w:lang w:val="pt-PT"/>
        </w:rPr>
        <w:t xml:space="preserve">Programa Cidades </w:t>
      </w:r>
      <w:proofErr w:type="spellStart"/>
      <w:r>
        <w:rPr>
          <w:rFonts w:ascii="Arial" w:hAnsi="Arial"/>
          <w:sz w:val="22"/>
          <w:szCs w:val="22"/>
          <w:lang w:val="pt-PT"/>
        </w:rPr>
        <w:t>Sustent</w:t>
      </w:r>
      <w:r>
        <w:rPr>
          <w:rFonts w:ascii="Arial" w:hAnsi="Arial"/>
          <w:sz w:val="22"/>
          <w:szCs w:val="22"/>
        </w:rPr>
        <w:t>áveis</w:t>
      </w:r>
      <w:proofErr w:type="spellEnd"/>
      <w:r>
        <w:rPr>
          <w:rFonts w:ascii="Arial" w:hAnsi="Arial"/>
          <w:sz w:val="22"/>
          <w:szCs w:val="22"/>
        </w:rPr>
        <w:t>" gave approaches for other developing nations. This program focuses on promoting integrated urban planning and waste management and green infrastructure development to mitigate the impact stemming from rapid urbanization. For example, cities participating in the program have implemented bike lanes, improved public transportation, and expanded green spaces lead to reduced carbon emissions and improved air quality.</w:t>
      </w:r>
    </w:p>
    <w:p w:rsidR="00B62616" w:rsidRDefault="00000000" w14:paraId="2A2050C9" w14:textId="77777777">
      <w:pPr>
        <w:pStyle w:val="A"/>
        <w:tabs>
          <w:tab w:val="left" w:pos="8336"/>
        </w:tabs>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United States of America</w:t>
      </w:r>
    </w:p>
    <w:p w:rsidR="00B62616" w:rsidRDefault="00000000" w14:paraId="75821A33" w14:textId="6E52AB36">
      <w:pPr>
        <w:pStyle w:val="A"/>
        <w:spacing w:line="360" w:lineRule="auto"/>
        <w:rPr>
          <w:rFonts w:ascii="Arial" w:hAnsi="Arial" w:eastAsia="Arial" w:cs="Arial"/>
          <w:sz w:val="22"/>
          <w:szCs w:val="22"/>
        </w:rPr>
      </w:pPr>
      <w:r>
        <w:rPr>
          <w:rFonts w:ascii="Arial" w:hAnsi="Arial" w:eastAsia="Arial" w:cs="Arial"/>
          <w:b/>
          <w:bCs/>
          <w:color w:val="4BACC6"/>
          <w:sz w:val="22"/>
          <w:szCs w:val="22"/>
          <w:u w:color="4BACC6"/>
        </w:rPr>
        <w:tab/>
      </w:r>
      <w:r>
        <w:rPr>
          <w:rFonts w:ascii="Arial" w:hAnsi="Arial"/>
          <w:sz w:val="22"/>
          <w:szCs w:val="22"/>
        </w:rPr>
        <w:t>The United States is a central player in urbanization and environmental policy due to its large and growing population and technological leadership. Urban development in the U.S. is projected to expand significantly; for example, the U.S. Census Bureau projects that by 2050, over 80% of the population will live in urban areas. The U.S. Environmental Protection Agency and state governments play pivotal roles in establishing policies on clean energy. For instance, the EPA's Clean Water Act regulates pollutant discharges into waterways, and initiatives like the Energy Star program promote energy efficiency in buildings. Furthermore, investments in public transportation and green infrastructure include California</w:t>
      </w:r>
      <w:r>
        <w:rPr>
          <w:rFonts w:ascii="Arial Unicode MS" w:hAnsi="Arial Unicode MS"/>
          <w:sz w:val="22"/>
          <w:szCs w:val="22"/>
          <w:rtl/>
          <w:lang w:val="ar-SA"/>
        </w:rPr>
        <w:t>’</w:t>
      </w:r>
      <w:r>
        <w:rPr>
          <w:rFonts w:ascii="Arial" w:hAnsi="Arial"/>
          <w:sz w:val="22"/>
          <w:szCs w:val="22"/>
        </w:rPr>
        <w:t xml:space="preserve">s Advanced Clean Cars II regulation to expand bike lanes and regulations of mandatory green roofs in Chicago and New York for new constructions. </w:t>
      </w:r>
    </w:p>
    <w:p w:rsidR="00B62616" w:rsidRDefault="00B62616" w14:paraId="1B340BF1" w14:textId="77777777">
      <w:pPr>
        <w:pStyle w:val="A"/>
        <w:tabs>
          <w:tab w:val="left" w:pos="8336"/>
        </w:tabs>
        <w:spacing w:line="360" w:lineRule="auto"/>
        <w:rPr>
          <w:rFonts w:ascii="Arial" w:hAnsi="Arial" w:eastAsia="Arial" w:cs="Arial"/>
          <w:sz w:val="22"/>
          <w:szCs w:val="22"/>
        </w:rPr>
      </w:pPr>
    </w:p>
    <w:p w:rsidR="00B62616" w:rsidRDefault="00000000" w14:paraId="36BAE84E" w14:textId="77777777">
      <w:pPr>
        <w:pStyle w:val="A"/>
        <w:spacing w:line="360" w:lineRule="auto"/>
        <w:rPr>
          <w:rFonts w:ascii="Arial" w:hAnsi="Arial" w:eastAsia="Arial" w:cs="Arial"/>
          <w:b/>
          <w:bCs/>
          <w:color w:val="31849B"/>
          <w:sz w:val="28"/>
          <w:szCs w:val="28"/>
          <w:u w:color="31849B"/>
        </w:rPr>
      </w:pPr>
      <w:r>
        <w:rPr>
          <w:rFonts w:ascii="Arial" w:hAnsi="Arial"/>
          <w:b/>
          <w:bCs/>
          <w:color w:val="31849B"/>
          <w:sz w:val="28"/>
          <w:szCs w:val="28"/>
          <w:u w:color="31849B"/>
        </w:rPr>
        <w:t>Timeline of Events</w:t>
      </w:r>
    </w:p>
    <w:tbl>
      <w:tblPr>
        <w:tblW w:w="10196" w:type="dxa"/>
        <w:tblInd w:w="324"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098"/>
        <w:gridCol w:w="5098"/>
      </w:tblGrid>
      <w:tr w:rsidR="00B62616" w14:paraId="06425D2D" w14:textId="77777777">
        <w:trPr>
          <w:trHeight w:val="976"/>
        </w:trPr>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236E11F2" w14:textId="77777777">
            <w:pPr>
              <w:pStyle w:val="A"/>
              <w:spacing w:after="0" w:line="360" w:lineRule="auto"/>
            </w:pPr>
            <w:r>
              <w:rPr>
                <w:rFonts w:ascii="Arial" w:hAnsi="Arial"/>
                <w:b/>
                <w:bCs/>
                <w:color w:val="4BACC6"/>
                <w:sz w:val="22"/>
                <w:szCs w:val="22"/>
                <w:u w:color="4BACC6"/>
              </w:rPr>
              <w:t>Date</w:t>
            </w:r>
          </w:p>
        </w:tc>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087B88F9" w14:textId="747F382A">
            <w:pPr>
              <w:pStyle w:val="A"/>
              <w:spacing w:after="0" w:line="360" w:lineRule="auto"/>
            </w:pPr>
            <w:r>
              <w:rPr>
                <w:rFonts w:ascii="Arial" w:hAnsi="Arial"/>
                <w:b/>
                <w:bCs/>
                <w:color w:val="4BACC6"/>
                <w:sz w:val="22"/>
                <w:szCs w:val="22"/>
                <w:u w:color="4BACC6"/>
              </w:rPr>
              <w:t>Description of event</w:t>
            </w:r>
          </w:p>
        </w:tc>
      </w:tr>
      <w:tr w:rsidR="00B62616" w14:paraId="7A0F5752" w14:textId="77777777">
        <w:trPr>
          <w:trHeight w:val="976"/>
        </w:trPr>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3AFD3AF9" w14:textId="77777777">
            <w:pPr>
              <w:pStyle w:val="A"/>
              <w:spacing w:after="0" w:line="360" w:lineRule="auto"/>
            </w:pPr>
            <w:r>
              <w:rPr>
                <w:rFonts w:ascii="Arial" w:hAnsi="Arial"/>
                <w:sz w:val="22"/>
                <w:szCs w:val="22"/>
              </w:rPr>
              <w:t>1992</w:t>
            </w:r>
          </w:p>
        </w:tc>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1FCC4211" w14:textId="77777777">
            <w:pPr>
              <w:pStyle w:val="A"/>
              <w:spacing w:after="0" w:line="360" w:lineRule="auto"/>
            </w:pPr>
            <w:r>
              <w:rPr>
                <w:rFonts w:ascii="Arial" w:hAnsi="Arial"/>
                <w:sz w:val="22"/>
                <w:szCs w:val="22"/>
              </w:rPr>
              <w:t>United Nations Conference on Environment and Development (Earth Summit) establishes Agenda 21</w:t>
            </w:r>
          </w:p>
        </w:tc>
      </w:tr>
      <w:tr w:rsidR="00B62616" w14:paraId="1034E429" w14:textId="77777777">
        <w:trPr>
          <w:trHeight w:val="976"/>
        </w:trPr>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3995DA21" w14:textId="77777777">
            <w:pPr>
              <w:pStyle w:val="A"/>
              <w:spacing w:after="0" w:line="360" w:lineRule="auto"/>
            </w:pPr>
            <w:r>
              <w:rPr>
                <w:rFonts w:ascii="Arial" w:hAnsi="Arial"/>
                <w:sz w:val="22"/>
                <w:szCs w:val="22"/>
              </w:rPr>
              <w:t>2015</w:t>
            </w:r>
          </w:p>
        </w:tc>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44DDE8B3" w14:textId="77777777">
            <w:pPr>
              <w:pStyle w:val="A"/>
              <w:spacing w:after="0" w:line="360" w:lineRule="auto"/>
            </w:pPr>
            <w:r>
              <w:rPr>
                <w:rFonts w:ascii="Arial" w:hAnsi="Arial"/>
                <w:sz w:val="22"/>
                <w:szCs w:val="22"/>
              </w:rPr>
              <w:t>Adoption of the UN</w:t>
            </w:r>
            <w:r w:rsidRPr="00C85C22">
              <w:rPr>
                <w:rFonts w:ascii="Arial" w:hAnsi="Arial"/>
                <w:sz w:val="22"/>
                <w:szCs w:val="22"/>
                <w:lang w:val="en-GB" w:eastAsia="ko-KR"/>
              </w:rPr>
              <w:t xml:space="preserve"> </w:t>
            </w:r>
            <w:r>
              <w:rPr>
                <w:rFonts w:ascii="Arial" w:hAnsi="Arial"/>
                <w:sz w:val="22"/>
                <w:szCs w:val="22"/>
              </w:rPr>
              <w:t>Sustainable Development Goals (SDGs) #11 Sustainable Cities and Communities and #13 Climate Action</w:t>
            </w:r>
          </w:p>
        </w:tc>
      </w:tr>
      <w:tr w:rsidR="00B62616" w14:paraId="620396B8" w14:textId="77777777">
        <w:trPr>
          <w:trHeight w:val="619"/>
        </w:trPr>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5821B729" w14:textId="77777777">
            <w:pPr>
              <w:pStyle w:val="A"/>
              <w:spacing w:after="0" w:line="360" w:lineRule="auto"/>
            </w:pPr>
            <w:r>
              <w:rPr>
                <w:rFonts w:ascii="Arial" w:hAnsi="Arial"/>
                <w:sz w:val="22"/>
                <w:szCs w:val="22"/>
              </w:rPr>
              <w:t>2016</w:t>
            </w:r>
          </w:p>
        </w:tc>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207C7790" w14:textId="77777777">
            <w:pPr>
              <w:pStyle w:val="A"/>
              <w:spacing w:after="0" w:line="360" w:lineRule="auto"/>
            </w:pPr>
            <w:r>
              <w:rPr>
                <w:rFonts w:ascii="Arial" w:hAnsi="Arial"/>
                <w:sz w:val="22"/>
                <w:szCs w:val="22"/>
              </w:rPr>
              <w:t xml:space="preserve">Habitat III Conference adopts the New Urban Agenda </w:t>
            </w:r>
          </w:p>
        </w:tc>
      </w:tr>
      <w:tr w:rsidR="00B62616" w14:paraId="3035EF7C" w14:textId="77777777">
        <w:trPr>
          <w:trHeight w:val="609"/>
        </w:trPr>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3EB9EEA8" w14:textId="77777777">
            <w:pPr>
              <w:pStyle w:val="A"/>
              <w:spacing w:after="0" w:line="360" w:lineRule="auto"/>
            </w:pPr>
            <w:r>
              <w:rPr>
                <w:rFonts w:ascii="Arial" w:hAnsi="Arial"/>
                <w:sz w:val="22"/>
                <w:szCs w:val="22"/>
              </w:rPr>
              <w:t>2020</w:t>
            </w:r>
          </w:p>
        </w:tc>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7E056663" w14:textId="77777777">
            <w:pPr>
              <w:pStyle w:val="A"/>
              <w:spacing w:after="0" w:line="360" w:lineRule="auto"/>
            </w:pPr>
            <w:r>
              <w:rPr>
                <w:rFonts w:ascii="Arial" w:hAnsi="Arial"/>
                <w:sz w:val="22"/>
                <w:szCs w:val="22"/>
              </w:rPr>
              <w:t>COVID 19 Pandemic impacts urban environments and global sustainability efforts</w:t>
            </w:r>
          </w:p>
        </w:tc>
      </w:tr>
      <w:tr w:rsidR="00B62616" w14:paraId="66F0970E" w14:textId="77777777">
        <w:trPr>
          <w:trHeight w:val="1688"/>
        </w:trPr>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203123C4" w14:textId="77777777">
            <w:pPr>
              <w:pStyle w:val="A"/>
              <w:spacing w:after="0" w:line="360" w:lineRule="auto"/>
            </w:pPr>
            <w:r>
              <w:rPr>
                <w:rFonts w:ascii="Arial" w:hAnsi="Arial"/>
                <w:sz w:val="22"/>
                <w:szCs w:val="22"/>
              </w:rPr>
              <w:t>2023-2025</w:t>
            </w:r>
          </w:p>
        </w:tc>
        <w:tc>
          <w:tcPr>
            <w:tcW w:w="50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B62616" w:rsidRDefault="00000000" w14:paraId="1835E721" w14:textId="77777777">
            <w:pPr>
              <w:pStyle w:val="A"/>
              <w:spacing w:after="0" w:line="360" w:lineRule="auto"/>
            </w:pPr>
            <w:r>
              <w:rPr>
                <w:rFonts w:ascii="Arial" w:hAnsi="Arial"/>
                <w:sz w:val="22"/>
                <w:szCs w:val="22"/>
              </w:rPr>
              <w:t>UN SDG Progress Report: ten years into SDG implementation, progress is insufficient on many related to urbanization and environmental degradation. And was to reaffirm the need for accelerate action before 2030</w:t>
            </w:r>
          </w:p>
        </w:tc>
      </w:tr>
    </w:tbl>
    <w:p w:rsidR="00B62616" w:rsidRDefault="00B62616" w14:paraId="36DFEB86" w14:textId="77777777">
      <w:pPr>
        <w:pStyle w:val="A"/>
        <w:widowControl w:val="0"/>
        <w:ind w:left="216" w:hanging="216"/>
        <w:rPr>
          <w:rFonts w:ascii="Arial" w:hAnsi="Arial" w:eastAsia="Arial" w:cs="Arial"/>
          <w:b/>
          <w:bCs/>
          <w:color w:val="31849B"/>
          <w:sz w:val="28"/>
          <w:szCs w:val="28"/>
          <w:u w:color="31849B"/>
        </w:rPr>
      </w:pPr>
    </w:p>
    <w:p w:rsidR="00B62616" w:rsidRDefault="00B62616" w14:paraId="1F3216F1" w14:textId="77777777">
      <w:pPr>
        <w:pStyle w:val="A"/>
        <w:spacing w:line="360" w:lineRule="auto"/>
        <w:rPr>
          <w:rFonts w:ascii="Arial" w:hAnsi="Arial" w:eastAsia="Arial" w:cs="Arial"/>
          <w:b/>
          <w:bCs/>
          <w:color w:val="31849B"/>
          <w:sz w:val="28"/>
          <w:szCs w:val="28"/>
          <w:u w:color="31849B"/>
        </w:rPr>
      </w:pPr>
    </w:p>
    <w:p w:rsidR="00B62616" w:rsidRDefault="00000000" w14:paraId="5FA6E175" w14:textId="77777777">
      <w:pPr>
        <w:pStyle w:val="A"/>
        <w:spacing w:line="360" w:lineRule="auto"/>
        <w:rPr>
          <w:rFonts w:ascii="Arial" w:hAnsi="Arial" w:eastAsia="Arial" w:cs="Arial"/>
          <w:b/>
          <w:bCs/>
          <w:color w:val="31849B"/>
          <w:sz w:val="28"/>
          <w:szCs w:val="28"/>
          <w:u w:color="31849B"/>
          <w:lang w:val="nl-NL"/>
        </w:rPr>
      </w:pPr>
      <w:r>
        <w:rPr>
          <w:rFonts w:ascii="Arial" w:hAnsi="Arial"/>
          <w:b/>
          <w:bCs/>
          <w:color w:val="31849B"/>
          <w:sz w:val="28"/>
          <w:szCs w:val="28"/>
          <w:u w:color="31849B"/>
          <w:lang w:val="nl-NL"/>
        </w:rPr>
        <w:t xml:space="preserve">Relevant UN </w:t>
      </w:r>
      <w:proofErr w:type="spellStart"/>
      <w:r>
        <w:rPr>
          <w:rFonts w:ascii="Arial" w:hAnsi="Arial"/>
          <w:b/>
          <w:bCs/>
          <w:color w:val="31849B"/>
          <w:sz w:val="28"/>
          <w:szCs w:val="28"/>
          <w:u w:color="31849B"/>
          <w:lang w:val="nl-NL"/>
        </w:rPr>
        <w:t>Treaties</w:t>
      </w:r>
      <w:proofErr w:type="spellEnd"/>
      <w:r>
        <w:rPr>
          <w:rFonts w:ascii="Arial" w:hAnsi="Arial"/>
          <w:b/>
          <w:bCs/>
          <w:color w:val="31849B"/>
          <w:sz w:val="28"/>
          <w:szCs w:val="28"/>
          <w:u w:color="31849B"/>
          <w:lang w:val="nl-NL"/>
        </w:rPr>
        <w:t xml:space="preserve"> </w:t>
      </w:r>
      <w:proofErr w:type="spellStart"/>
      <w:r>
        <w:rPr>
          <w:rFonts w:ascii="Arial" w:hAnsi="Arial"/>
          <w:b/>
          <w:bCs/>
          <w:color w:val="31849B"/>
          <w:sz w:val="28"/>
          <w:szCs w:val="28"/>
          <w:u w:color="31849B"/>
          <w:lang w:val="nl-NL"/>
        </w:rPr>
        <w:t>and</w:t>
      </w:r>
      <w:proofErr w:type="spellEnd"/>
      <w:r>
        <w:rPr>
          <w:rFonts w:ascii="Arial" w:hAnsi="Arial"/>
          <w:b/>
          <w:bCs/>
          <w:color w:val="31849B"/>
          <w:sz w:val="28"/>
          <w:szCs w:val="28"/>
          <w:u w:color="31849B"/>
          <w:lang w:val="nl-NL"/>
        </w:rPr>
        <w:t xml:space="preserve"> Events</w:t>
      </w:r>
    </w:p>
    <w:p w:rsidR="00B62616" w:rsidRDefault="00000000" w14:paraId="20243167" w14:textId="77777777">
      <w:pPr>
        <w:pStyle w:val="A"/>
        <w:numPr>
          <w:ilvl w:val="0"/>
          <w:numId w:val="2"/>
        </w:numPr>
        <w:spacing w:line="360" w:lineRule="auto"/>
        <w:rPr>
          <w:rFonts w:ascii="Arial" w:hAnsi="Arial"/>
          <w:sz w:val="22"/>
          <w:szCs w:val="22"/>
        </w:rPr>
      </w:pPr>
      <w:r>
        <w:rPr>
          <w:rFonts w:ascii="Arial" w:hAnsi="Arial"/>
          <w:sz w:val="22"/>
          <w:szCs w:val="22"/>
        </w:rPr>
        <w:t xml:space="preserve">New Urban Agenda, 23 December 2016 (A/RES/71/256): Adopted at the UN Conference on Housing and Sustainable Urban Development (Habitat III) in Quito, Ecuador and later endorsed by the General Assembly. It calls on governments to provide basic services for all with equal access to green public spaces and protection for migrants. This served as a key framework </w:t>
      </w:r>
      <w:proofErr w:type="spellStart"/>
      <w:r>
        <w:rPr>
          <w:rFonts w:ascii="Arial" w:hAnsi="Arial"/>
          <w:sz w:val="22"/>
          <w:szCs w:val="22"/>
        </w:rPr>
        <w:t>fro</w:t>
      </w:r>
      <w:proofErr w:type="spellEnd"/>
      <w:r>
        <w:rPr>
          <w:rFonts w:ascii="Arial" w:hAnsi="Arial"/>
          <w:sz w:val="22"/>
          <w:szCs w:val="22"/>
        </w:rPr>
        <w:t xml:space="preserve"> SDG 11. </w:t>
      </w:r>
    </w:p>
    <w:p w:rsidR="00B62616" w:rsidRDefault="00000000" w14:paraId="2788057A" w14:textId="77777777">
      <w:pPr>
        <w:pStyle w:val="A"/>
        <w:numPr>
          <w:ilvl w:val="0"/>
          <w:numId w:val="2"/>
        </w:numPr>
        <w:spacing w:line="360" w:lineRule="auto"/>
        <w:rPr>
          <w:rFonts w:ascii="Arial" w:hAnsi="Arial"/>
          <w:sz w:val="22"/>
          <w:szCs w:val="22"/>
        </w:rPr>
      </w:pPr>
      <w:r>
        <w:rPr>
          <w:rFonts w:ascii="Arial" w:hAnsi="Arial"/>
          <w:sz w:val="22"/>
          <w:szCs w:val="22"/>
        </w:rPr>
        <w:t xml:space="preserve">Transforming our world: the 2030 Agenda for Sustainable development, 25 September 2015 (A/RES/70/1): This resolution adopted the 17 SDGs which first established a global framework for addressing urbanization and environmental sustainability. It highlights the interdependence of environmental, social, and economic </w:t>
      </w:r>
      <w:proofErr w:type="spellStart"/>
      <w:r>
        <w:rPr>
          <w:rFonts w:ascii="Arial" w:hAnsi="Arial"/>
          <w:sz w:val="22"/>
          <w:szCs w:val="22"/>
        </w:rPr>
        <w:t>povs</w:t>
      </w:r>
      <w:proofErr w:type="spellEnd"/>
      <w:r>
        <w:rPr>
          <w:rFonts w:ascii="Arial" w:hAnsi="Arial"/>
          <w:sz w:val="22"/>
          <w:szCs w:val="22"/>
        </w:rPr>
        <w:t xml:space="preserve"> with focus of improving air and water quality and enhancing resilience on disasters.</w:t>
      </w:r>
    </w:p>
    <w:p w:rsidRPr="00E40783" w:rsidR="00B62616" w:rsidP="00E40783" w:rsidRDefault="00000000" w14:paraId="3FBE1930" w14:textId="2206E639">
      <w:pPr>
        <w:pStyle w:val="A"/>
        <w:numPr>
          <w:ilvl w:val="0"/>
          <w:numId w:val="2"/>
        </w:numPr>
        <w:spacing w:line="360" w:lineRule="auto"/>
        <w:rPr>
          <w:rFonts w:ascii="Arial" w:hAnsi="Arial"/>
          <w:sz w:val="22"/>
          <w:szCs w:val="22"/>
        </w:rPr>
      </w:pPr>
      <w:r>
        <w:rPr>
          <w:rFonts w:ascii="Arial" w:hAnsi="Arial"/>
          <w:sz w:val="22"/>
          <w:szCs w:val="22"/>
        </w:rPr>
        <w:t xml:space="preserve">Quadrennial Reports on the New Urban Agenda, 2022 and next on 2026: The UN Secretary General submits this in accordance with the New Urban Agenda to ensure accountability and track progress. These reports analyze qualitative and quantitative data from </w:t>
      </w:r>
      <w:proofErr w:type="spellStart"/>
      <w:r>
        <w:rPr>
          <w:rFonts w:ascii="Arial" w:hAnsi="Arial"/>
          <w:sz w:val="22"/>
          <w:szCs w:val="22"/>
        </w:rPr>
        <w:t>govs</w:t>
      </w:r>
      <w:proofErr w:type="spellEnd"/>
      <w:r>
        <w:rPr>
          <w:rFonts w:ascii="Arial" w:hAnsi="Arial"/>
          <w:sz w:val="22"/>
          <w:szCs w:val="22"/>
        </w:rPr>
        <w:t xml:space="preserve">, organizations, and stakeholders. The purpose was to solve out challenges in reaching accountably goals. </w:t>
      </w:r>
    </w:p>
    <w:p w:rsidR="00B62616" w:rsidRDefault="00B62616" w14:paraId="7AD90D77" w14:textId="77777777">
      <w:pPr>
        <w:pStyle w:val="A"/>
        <w:spacing w:line="360" w:lineRule="auto"/>
        <w:rPr>
          <w:rFonts w:ascii="Arial" w:hAnsi="Arial" w:eastAsia="Arial" w:cs="Arial"/>
          <w:sz w:val="22"/>
          <w:szCs w:val="22"/>
        </w:rPr>
      </w:pPr>
    </w:p>
    <w:p w:rsidR="00B62616" w:rsidRDefault="00000000" w14:paraId="73E695EC" w14:textId="2DF998DE">
      <w:pPr>
        <w:pStyle w:val="A"/>
        <w:spacing w:line="360" w:lineRule="auto"/>
        <w:rPr>
          <w:rFonts w:ascii="Arial" w:hAnsi="Arial" w:eastAsia="Arial" w:cs="Arial"/>
          <w:b w:val="1"/>
          <w:bCs w:val="1"/>
          <w:color w:val="31849B"/>
          <w:sz w:val="28"/>
          <w:szCs w:val="28"/>
        </w:rPr>
      </w:pPr>
      <w:r w:rsidRPr="403A13BD" w:rsidR="00000000">
        <w:rPr>
          <w:rFonts w:ascii="Arial" w:hAnsi="Arial"/>
          <w:b w:val="1"/>
          <w:bCs w:val="1"/>
          <w:color w:val="31849B" w:themeColor="accent5" w:themeTint="FF" w:themeShade="BF"/>
          <w:sz w:val="28"/>
          <w:szCs w:val="28"/>
        </w:rPr>
        <w:t>Previous</w:t>
      </w:r>
      <w:r w:rsidRPr="403A13BD" w:rsidR="00000000">
        <w:rPr>
          <w:rFonts w:ascii="Arial" w:hAnsi="Arial"/>
          <w:b w:val="1"/>
          <w:bCs w:val="1"/>
          <w:color w:val="31849B" w:themeColor="accent5" w:themeTint="FF" w:themeShade="BF"/>
          <w:sz w:val="28"/>
          <w:szCs w:val="28"/>
        </w:rPr>
        <w:t xml:space="preserve"> Attempts to </w:t>
      </w:r>
      <w:r w:rsidRPr="403A13BD" w:rsidR="582A3D7E">
        <w:rPr>
          <w:rFonts w:ascii="Arial" w:hAnsi="Arial"/>
          <w:b w:val="1"/>
          <w:bCs w:val="1"/>
          <w:color w:val="31849B" w:themeColor="accent5" w:themeTint="FF" w:themeShade="BF"/>
          <w:sz w:val="28"/>
          <w:szCs w:val="28"/>
        </w:rPr>
        <w:t>S</w:t>
      </w:r>
      <w:r w:rsidRPr="403A13BD" w:rsidR="00000000">
        <w:rPr>
          <w:rFonts w:ascii="Arial" w:hAnsi="Arial"/>
          <w:b w:val="1"/>
          <w:bCs w:val="1"/>
          <w:color w:val="31849B" w:themeColor="accent5" w:themeTint="FF" w:themeShade="BF"/>
          <w:sz w:val="28"/>
          <w:szCs w:val="28"/>
        </w:rPr>
        <w:t>olve the Issue</w:t>
      </w:r>
    </w:p>
    <w:p w:rsidR="00B62616" w:rsidRDefault="00000000" w14:paraId="70127D23" w14:textId="77777777">
      <w:pPr>
        <w:pStyle w:val="A"/>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Urban Agenda for the EU (2016~present)</w:t>
      </w:r>
    </w:p>
    <w:p w:rsidR="00B62616" w:rsidRDefault="00000000" w14:paraId="1057920B" w14:textId="77777777">
      <w:pPr>
        <w:pStyle w:val="A"/>
        <w:spacing w:line="360" w:lineRule="auto"/>
        <w:ind w:firstLine="720"/>
        <w:rPr>
          <w:rFonts w:ascii="Arial" w:hAnsi="Arial" w:eastAsia="Arial" w:cs="Arial"/>
          <w:sz w:val="22"/>
          <w:szCs w:val="22"/>
        </w:rPr>
      </w:pPr>
      <w:r>
        <w:rPr>
          <w:rFonts w:ascii="Arial" w:hAnsi="Arial"/>
          <w:sz w:val="22"/>
          <w:szCs w:val="22"/>
        </w:rPr>
        <w:t xml:space="preserve">This Agenda and Climate Adaptation Partnership Action Plan have supported integrated strategies for sustainable urban development in more than 900 cities. Mainly focused on better regulation, funding, and education for climate adaptation. This </w:t>
      </w:r>
      <w:proofErr w:type="gramStart"/>
      <w:r>
        <w:rPr>
          <w:rFonts w:ascii="Arial" w:hAnsi="Arial"/>
          <w:sz w:val="22"/>
          <w:szCs w:val="22"/>
        </w:rPr>
        <w:t>lead</w:t>
      </w:r>
      <w:proofErr w:type="gramEnd"/>
      <w:r>
        <w:rPr>
          <w:rFonts w:ascii="Arial" w:hAnsi="Arial"/>
          <w:sz w:val="22"/>
          <w:szCs w:val="22"/>
        </w:rPr>
        <w:t xml:space="preserve"> to improvements in air quality, increased green spaces, and the mainstreaming of climate adaptation in city planning. However, challenges remain in uniform implementation across all member states, as some cities lag in adopting these. Overall, the EU</w:t>
      </w:r>
      <w:r>
        <w:rPr>
          <w:rFonts w:ascii="Arial Unicode MS" w:hAnsi="Arial Unicode MS"/>
          <w:sz w:val="22"/>
          <w:szCs w:val="22"/>
          <w:rtl/>
          <w:lang w:val="ar-SA"/>
        </w:rPr>
        <w:t>’</w:t>
      </w:r>
      <w:r>
        <w:rPr>
          <w:rFonts w:ascii="Arial" w:hAnsi="Arial"/>
          <w:sz w:val="22"/>
          <w:szCs w:val="22"/>
        </w:rPr>
        <w:t xml:space="preserve">s approach is regionally focused and limited directly to rapid urbanizing developing countries. </w:t>
      </w:r>
    </w:p>
    <w:p w:rsidR="00B62616" w:rsidRDefault="00000000" w14:paraId="0A8A59E2" w14:textId="77777777">
      <w:pPr>
        <w:pStyle w:val="A"/>
        <w:spacing w:line="360" w:lineRule="auto"/>
        <w:ind w:firstLine="720"/>
        <w:rPr>
          <w:rFonts w:ascii="Arial" w:hAnsi="Arial" w:eastAsia="Arial" w:cs="Arial"/>
          <w:sz w:val="22"/>
          <w:szCs w:val="22"/>
        </w:rPr>
      </w:pPr>
      <w:r>
        <w:rPr>
          <w:rFonts w:ascii="Arial" w:hAnsi="Arial" w:eastAsia="Arial" w:cs="Arial"/>
          <w:sz w:val="22"/>
          <w:szCs w:val="22"/>
        </w:rPr>
        <w:br/>
      </w:r>
    </w:p>
    <w:p w:rsidR="00B62616" w:rsidRDefault="00000000" w14:paraId="78A6FB2E" w14:textId="77777777">
      <w:pPr>
        <w:pStyle w:val="A"/>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Paris Agreement (2015)</w:t>
      </w:r>
    </w:p>
    <w:p w:rsidR="00B62616" w:rsidRDefault="00000000" w14:paraId="38FF09E0" w14:textId="77777777">
      <w:pPr>
        <w:pStyle w:val="A"/>
        <w:spacing w:line="360" w:lineRule="auto"/>
        <w:rPr>
          <w:rFonts w:ascii="Arial" w:hAnsi="Arial" w:eastAsia="Arial" w:cs="Arial"/>
          <w:sz w:val="22"/>
          <w:szCs w:val="22"/>
        </w:rPr>
      </w:pPr>
      <w:r>
        <w:rPr>
          <w:rFonts w:ascii="Arial" w:hAnsi="Arial" w:eastAsia="Arial" w:cs="Arial"/>
          <w:b/>
          <w:bCs/>
          <w:color w:val="4BACC6"/>
          <w:sz w:val="22"/>
          <w:szCs w:val="22"/>
          <w:u w:color="4BACC6"/>
        </w:rPr>
        <w:tab/>
      </w:r>
      <w:r>
        <w:rPr>
          <w:rFonts w:ascii="Arial" w:hAnsi="Arial"/>
          <w:sz w:val="22"/>
          <w:szCs w:val="22"/>
        </w:rPr>
        <w:t xml:space="preserve"> This Agreement formally recognized the role of cities in climate mitigation for the first time and aims to combat climate change by limiting global warming. This encouraged countries to integrate climate action into their plans and promote practices to reduce emissions. Nonetheless, some nations have struggled to implement into local policies and developing countries face resource constraints. </w:t>
      </w:r>
    </w:p>
    <w:p w:rsidR="00B62616" w:rsidRDefault="00B62616" w14:paraId="2B2A9B16" w14:textId="77777777">
      <w:pPr>
        <w:pStyle w:val="A"/>
        <w:spacing w:line="360" w:lineRule="auto"/>
        <w:ind w:firstLine="720"/>
        <w:rPr>
          <w:rFonts w:ascii="Arial" w:hAnsi="Arial" w:eastAsia="Arial" w:cs="Arial"/>
          <w:sz w:val="22"/>
          <w:szCs w:val="22"/>
        </w:rPr>
      </w:pPr>
    </w:p>
    <w:p w:rsidR="00B62616" w:rsidRDefault="00000000" w14:paraId="1C8C6420" w14:textId="77777777">
      <w:pPr>
        <w:pStyle w:val="A"/>
        <w:spacing w:line="360" w:lineRule="auto"/>
        <w:rPr>
          <w:rFonts w:ascii="Arial" w:hAnsi="Arial" w:eastAsia="Arial" w:cs="Arial"/>
          <w:b/>
          <w:bCs/>
          <w:color w:val="4BACC6"/>
          <w:sz w:val="22"/>
          <w:szCs w:val="22"/>
          <w:u w:color="4BACC6"/>
        </w:rPr>
      </w:pPr>
      <w:r>
        <w:rPr>
          <w:rFonts w:ascii="Arial" w:hAnsi="Arial"/>
          <w:b/>
          <w:bCs/>
          <w:color w:val="4BACC6"/>
          <w:sz w:val="22"/>
          <w:szCs w:val="22"/>
          <w:u w:color="4BACC6"/>
        </w:rPr>
        <w:t xml:space="preserve">International Climate </w:t>
      </w:r>
      <w:proofErr w:type="gramStart"/>
      <w:r>
        <w:rPr>
          <w:rFonts w:ascii="Arial" w:hAnsi="Arial"/>
          <w:b/>
          <w:bCs/>
          <w:color w:val="4BACC6"/>
          <w:sz w:val="22"/>
          <w:szCs w:val="22"/>
          <w:u w:color="4BACC6"/>
        </w:rPr>
        <w:t>Initiative(</w:t>
      </w:r>
      <w:proofErr w:type="gramEnd"/>
      <w:r>
        <w:rPr>
          <w:rFonts w:ascii="Arial" w:hAnsi="Arial"/>
          <w:b/>
          <w:bCs/>
          <w:color w:val="4BACC6"/>
          <w:sz w:val="22"/>
          <w:szCs w:val="22"/>
          <w:u w:color="4BACC6"/>
        </w:rPr>
        <w:t>IKI) Projects (2015~2025)</w:t>
      </w:r>
    </w:p>
    <w:p w:rsidRPr="00E40783" w:rsidR="00B62616" w:rsidP="00E40783" w:rsidRDefault="00000000" w14:paraId="08470E8C" w14:textId="0D7B75EC">
      <w:pPr>
        <w:pStyle w:val="A"/>
        <w:spacing w:line="360" w:lineRule="auto"/>
        <w:ind w:firstLine="720"/>
        <w:rPr>
          <w:rFonts w:ascii="Arial" w:hAnsi="Arial" w:eastAsia="Arial" w:cs="Arial"/>
          <w:sz w:val="22"/>
          <w:szCs w:val="22"/>
        </w:rPr>
      </w:pPr>
      <w:r>
        <w:rPr>
          <w:rFonts w:ascii="Arial" w:hAnsi="Arial"/>
          <w:sz w:val="22"/>
          <w:szCs w:val="22"/>
        </w:rPr>
        <w:t xml:space="preserve">The IKI is a German government program that has implemented over 100 sustainable urban development projects in 50+ countries. It supports partner countries in implementing their National Biodiversity Strategies and Action Plans. For example, urban biodiversity corridors in Costa Rica and resilience project in Thailand demonstrated solutions to restore environment. However, this project faced limitations on funding and sometimes insufficient integration with national urban policies. In some cases, benefits remain localized without broad systemic change. </w:t>
      </w:r>
      <w:proofErr w:type="gramStart"/>
      <w:r>
        <w:rPr>
          <w:rFonts w:ascii="Arial" w:hAnsi="Arial"/>
          <w:sz w:val="22"/>
          <w:szCs w:val="22"/>
        </w:rPr>
        <w:t>Thus</w:t>
      </w:r>
      <w:proofErr w:type="gramEnd"/>
      <w:r>
        <w:rPr>
          <w:rFonts w:ascii="Arial" w:hAnsi="Arial"/>
          <w:sz w:val="22"/>
          <w:szCs w:val="22"/>
        </w:rPr>
        <w:t xml:space="preserve"> </w:t>
      </w:r>
      <w:proofErr w:type="gramStart"/>
      <w:r>
        <w:rPr>
          <w:rFonts w:ascii="Arial" w:hAnsi="Arial"/>
          <w:sz w:val="22"/>
          <w:szCs w:val="22"/>
        </w:rPr>
        <w:t>it</w:t>
      </w:r>
      <w:proofErr w:type="gramEnd"/>
      <w:r>
        <w:rPr>
          <w:rFonts w:ascii="Arial" w:hAnsi="Arial"/>
          <w:sz w:val="22"/>
          <w:szCs w:val="22"/>
        </w:rPr>
        <w:t xml:space="preserve"> needs for a better alignment of projects with national development framework and </w:t>
      </w:r>
      <w:proofErr w:type="gramStart"/>
      <w:r>
        <w:rPr>
          <w:rFonts w:ascii="Arial" w:hAnsi="Arial"/>
          <w:sz w:val="22"/>
          <w:szCs w:val="22"/>
        </w:rPr>
        <w:t>long term</w:t>
      </w:r>
      <w:proofErr w:type="gramEnd"/>
      <w:r>
        <w:rPr>
          <w:rFonts w:ascii="Arial" w:hAnsi="Arial"/>
          <w:sz w:val="22"/>
          <w:szCs w:val="22"/>
        </w:rPr>
        <w:t xml:space="preserve"> financial sustainability. </w:t>
      </w:r>
      <w:r>
        <w:rPr>
          <w:rFonts w:ascii="Arial" w:hAnsi="Arial" w:eastAsia="Arial" w:cs="Arial"/>
        </w:rPr>
        <w:br/>
      </w:r>
    </w:p>
    <w:p w:rsidR="00B62616" w:rsidRDefault="00000000" w14:paraId="2905C84F" w14:textId="098E4E86">
      <w:pPr>
        <w:pStyle w:val="A"/>
        <w:spacing w:line="360" w:lineRule="auto"/>
        <w:rPr>
          <w:rFonts w:ascii="Arial" w:hAnsi="Arial" w:eastAsia="Arial" w:cs="Arial"/>
          <w:b/>
          <w:bCs/>
          <w:color w:val="31849B"/>
          <w:sz w:val="28"/>
          <w:szCs w:val="28"/>
          <w:u w:color="31849B"/>
        </w:rPr>
      </w:pPr>
      <w:r>
        <w:rPr>
          <w:rFonts w:ascii="Arial" w:hAnsi="Arial"/>
          <w:b/>
          <w:bCs/>
          <w:color w:val="31849B"/>
          <w:sz w:val="28"/>
          <w:szCs w:val="28"/>
          <w:u w:color="31849B"/>
        </w:rPr>
        <w:t>Possible Solutions</w:t>
      </w:r>
      <w:r w:rsidR="00E40783">
        <w:rPr>
          <w:rFonts w:ascii="Arial" w:hAnsi="Arial" w:eastAsia="Arial" w:cs="Arial"/>
          <w:b/>
          <w:bCs/>
          <w:color w:val="31849B"/>
          <w:sz w:val="28"/>
          <w:szCs w:val="28"/>
          <w:u w:color="31849B"/>
        </w:rPr>
        <w:tab/>
      </w:r>
    </w:p>
    <w:p w:rsidR="00B62616" w:rsidP="00E40783" w:rsidRDefault="00000000" w14:paraId="5DE2420F" w14:textId="77777777">
      <w:pPr>
        <w:pStyle w:val="AA"/>
        <w:suppressAutoHyphens/>
        <w:spacing w:before="0" w:after="240" w:line="360" w:lineRule="auto"/>
        <w:ind w:firstLine="720"/>
        <w:rPr>
          <w:rFonts w:ascii="Arial" w:hAnsi="Arial" w:eastAsia="Arial" w:cs="Arial"/>
          <w:sz w:val="22"/>
          <w:szCs w:val="22"/>
        </w:rPr>
      </w:pPr>
      <w:r>
        <w:rPr>
          <w:rFonts w:ascii="Arial" w:hAnsi="Arial"/>
          <w:sz w:val="22"/>
          <w:szCs w:val="22"/>
        </w:rPr>
        <w:t xml:space="preserve">From a social perspective, equal participation and benefits is important for sustainable efforts to not exacerbate existing inequalities. </w:t>
      </w:r>
      <w:r>
        <w:rPr>
          <w:rFonts w:ascii="Arial" w:hAnsi="Arial" w:eastAsia="Arial" w:cs="Arial"/>
          <w:sz w:val="22"/>
          <w:szCs w:val="22"/>
        </w:rPr>
        <w:br/>
      </w:r>
      <w:r>
        <w:rPr>
          <w:rFonts w:ascii="Arial" w:hAnsi="Arial"/>
          <w:sz w:val="22"/>
          <w:szCs w:val="22"/>
        </w:rPr>
        <w:t>Community engagement and education is also a big part for the keep up with the implementations. Environmental education and awareness programs and collab between public and private sectors will allow citizens to be involved in the practices. Investments should be made not only in infrastructures but also in services such as education, health, and community programs. This means that making sure for all people to have access to clean water, public transport, green areas, and affordable homes.</w:t>
      </w:r>
    </w:p>
    <w:p w:rsidR="00B62616" w:rsidP="00E40783" w:rsidRDefault="00000000" w14:paraId="4C0D1E9A" w14:textId="77777777">
      <w:pPr>
        <w:pStyle w:val="AA"/>
        <w:suppressAutoHyphens/>
        <w:spacing w:before="0" w:after="240" w:line="360" w:lineRule="auto"/>
        <w:ind w:firstLine="720"/>
        <w:rPr>
          <w:rFonts w:ascii="Arial" w:hAnsi="Arial" w:eastAsia="Arial" w:cs="Arial"/>
          <w:sz w:val="22"/>
          <w:szCs w:val="22"/>
        </w:rPr>
      </w:pPr>
      <w:r>
        <w:rPr>
          <w:rFonts w:ascii="Arial" w:hAnsi="Arial"/>
          <w:sz w:val="22"/>
          <w:szCs w:val="22"/>
        </w:rPr>
        <w:t xml:space="preserve">Politically, it is important to create strong governance systems that work at different levels (national, regional, and local) to make sure all policies are connected that that everyone works together. Strengthening international cooperations, such through UN groups and regional organization will help </w:t>
      </w:r>
      <w:proofErr w:type="spellStart"/>
      <w:r>
        <w:rPr>
          <w:rFonts w:ascii="Arial" w:hAnsi="Arial"/>
          <w:sz w:val="22"/>
          <w:szCs w:val="22"/>
        </w:rPr>
        <w:t>help</w:t>
      </w:r>
      <w:proofErr w:type="spellEnd"/>
      <w:r>
        <w:rPr>
          <w:rFonts w:ascii="Arial" w:hAnsi="Arial"/>
          <w:sz w:val="22"/>
          <w:szCs w:val="22"/>
        </w:rPr>
        <w:t xml:space="preserve"> different areas work together by sharing common goals and keeping track of progress towards targets, especially the SDG 11 and climate goals. Also, countries need to set strict rules for how land is used, how much pollution is allowed, and how building are built. Further on, countries should also create incentives-for example, tax breaks for green building developers and cleaner </w:t>
      </w:r>
      <w:proofErr w:type="spellStart"/>
      <w:r>
        <w:rPr>
          <w:rFonts w:ascii="Arial" w:hAnsi="Arial"/>
          <w:sz w:val="22"/>
          <w:szCs w:val="22"/>
        </w:rPr>
        <w:t>transportaion</w:t>
      </w:r>
      <w:proofErr w:type="spellEnd"/>
      <w:r>
        <w:rPr>
          <w:rFonts w:ascii="Arial" w:hAnsi="Arial"/>
          <w:sz w:val="22"/>
          <w:szCs w:val="22"/>
        </w:rPr>
        <w:t xml:space="preserve">- to encourage private sector engagement in sustainability. They should also protect green spaces and natural areas that help wildlife. Specifically, governments should work with different organizations to </w:t>
      </w:r>
      <w:r>
        <w:rPr>
          <w:rFonts w:ascii="Arial" w:hAnsi="Arial"/>
          <w:sz w:val="22"/>
          <w:szCs w:val="22"/>
        </w:rPr>
        <w:t xml:space="preserve">secure money for stable funding. Green bonds, grants, low interest loans and more can motivate businesses and NGOs to participate in the act. </w:t>
      </w:r>
    </w:p>
    <w:p w:rsidR="00B62616" w:rsidP="00E40783" w:rsidRDefault="00000000" w14:paraId="5981BAA9" w14:textId="31F121FC">
      <w:pPr>
        <w:pStyle w:val="AA"/>
        <w:suppressAutoHyphens/>
        <w:spacing w:before="0" w:after="240" w:line="360" w:lineRule="auto"/>
        <w:ind w:firstLine="720"/>
        <w:rPr>
          <w:rFonts w:ascii="Arial" w:hAnsi="Arial" w:eastAsia="Arial" w:cs="Arial"/>
          <w:sz w:val="22"/>
          <w:szCs w:val="22"/>
        </w:rPr>
      </w:pPr>
      <w:r>
        <w:rPr>
          <w:rFonts w:ascii="Arial" w:hAnsi="Arial"/>
          <w:sz w:val="22"/>
          <w:szCs w:val="22"/>
        </w:rPr>
        <w:t xml:space="preserve">Lastly, countries must use green spaces with nature-friendly solutions. Examples include investing in parks, green roofs, and permeable pavements that will help cities manage floods and urban areas. Incorporating technologies as a tool for better efficiency could help manage resource better and allow cities to better adapt to changes. Smart city technologies using sensors and data analytics can optimize energy and waste managements. </w:t>
      </w:r>
    </w:p>
    <w:p w:rsidR="00B62616" w:rsidRDefault="00B62616" w14:paraId="60E2DCD4" w14:textId="77777777">
      <w:pPr>
        <w:pStyle w:val="AA"/>
        <w:suppressAutoHyphens/>
        <w:spacing w:before="0" w:after="240" w:line="300" w:lineRule="auto"/>
        <w:rPr>
          <w:rFonts w:ascii="Arial" w:hAnsi="Arial" w:eastAsia="Arial" w:cs="Arial"/>
          <w:sz w:val="22"/>
          <w:szCs w:val="22"/>
        </w:rPr>
      </w:pPr>
    </w:p>
    <w:p w:rsidR="00B62616" w:rsidRDefault="00000000" w14:paraId="7A3E9F62" w14:textId="77777777">
      <w:pPr>
        <w:pStyle w:val="A"/>
        <w:spacing w:line="360" w:lineRule="auto"/>
        <w:rPr>
          <w:lang w:val="fr-FR"/>
        </w:rPr>
      </w:pPr>
      <w:r>
        <w:rPr>
          <w:rFonts w:ascii="Arial" w:hAnsi="Arial"/>
          <w:b/>
          <w:bCs/>
          <w:color w:val="31849B"/>
          <w:sz w:val="28"/>
          <w:szCs w:val="28"/>
          <w:u w:color="31849B"/>
          <w:lang w:val="fr-FR"/>
        </w:rPr>
        <w:t>Bibliography</w:t>
      </w:r>
    </w:p>
    <w:p w:rsidRPr="00E40783" w:rsidR="00B62616" w:rsidRDefault="00000000" w14:paraId="4F7561CB" w14:textId="77777777">
      <w:pPr>
        <w:pStyle w:val="AA"/>
        <w:suppressAutoHyphens/>
        <w:spacing w:before="0" w:after="340" w:line="420" w:lineRule="auto"/>
        <w:ind w:left="567" w:hanging="567"/>
        <w:rPr>
          <w:rFonts w:ascii="Times New Roman" w:hAnsi="Times New Roman" w:eastAsia="Arial" w:cs="Times New Roman"/>
        </w:rPr>
      </w:pPr>
      <w:proofErr w:type="spellStart"/>
      <w:r w:rsidRPr="00E40783">
        <w:rPr>
          <w:rFonts w:ascii="Times New Roman" w:hAnsi="Times New Roman" w:cs="Times New Roman"/>
          <w:lang w:val="fr-FR"/>
        </w:rPr>
        <w:t>Acioly</w:t>
      </w:r>
      <w:proofErr w:type="spellEnd"/>
      <w:r w:rsidRPr="00E40783">
        <w:rPr>
          <w:rFonts w:ascii="Times New Roman" w:hAnsi="Times New Roman" w:cs="Times New Roman"/>
          <w:lang w:val="fr-FR"/>
        </w:rPr>
        <w:t xml:space="preserve">, Claudio, et al. </w:t>
      </w:r>
      <w:r w:rsidRPr="00E40783">
        <w:rPr>
          <w:rFonts w:ascii="Times New Roman" w:hAnsi="Times New Roman" w:cs="Times New Roman"/>
          <w:i/>
          <w:iCs/>
        </w:rPr>
        <w:t>The New Urban Agenda</w:t>
      </w:r>
      <w:r w:rsidRPr="00E40783">
        <w:rPr>
          <w:rFonts w:ascii="Times New Roman" w:hAnsi="Times New Roman" w:cs="Times New Roman"/>
        </w:rPr>
        <w:t>. 2020.</w:t>
      </w:r>
    </w:p>
    <w:p w:rsidRPr="00E40783" w:rsidR="00B62616" w:rsidRDefault="00000000" w14:paraId="653597DD" w14:textId="77777777">
      <w:pPr>
        <w:pStyle w:val="a0"/>
        <w:suppressAutoHyphens/>
        <w:spacing w:before="0" w:line="420" w:lineRule="auto"/>
        <w:ind w:left="960" w:hanging="960"/>
        <w:rPr>
          <w:rFonts w:ascii="Times New Roman" w:hAnsi="Times New Roman" w:eastAsia="Arial" w:cs="Times New Roman"/>
        </w:rPr>
      </w:pPr>
      <w:r w:rsidRPr="00E40783">
        <w:rPr>
          <w:rFonts w:ascii="Times New Roman" w:hAnsi="Times New Roman" w:cs="Times New Roman"/>
          <w:rtl/>
          <w:lang w:val="ar-SA"/>
        </w:rPr>
        <w:t>“</w:t>
      </w:r>
      <w:r w:rsidRPr="00E40783">
        <w:rPr>
          <w:rFonts w:ascii="Times New Roman" w:hAnsi="Times New Roman" w:cs="Times New Roman"/>
        </w:rPr>
        <w:t>China</w:t>
      </w:r>
      <w:r w:rsidRPr="00E40783">
        <w:rPr>
          <w:rFonts w:ascii="Times New Roman" w:hAnsi="Times New Roman" w:cs="Times New Roman"/>
          <w:rtl/>
        </w:rPr>
        <w:t>’</w:t>
      </w:r>
      <w:r w:rsidRPr="00E40783">
        <w:rPr>
          <w:rFonts w:ascii="Times New Roman" w:hAnsi="Times New Roman" w:cs="Times New Roman"/>
        </w:rPr>
        <w:t xml:space="preserve">s Sponge Cities Program | Knowledge Hub | Circle Lab.” </w:t>
      </w:r>
      <w:r w:rsidRPr="00E40783">
        <w:rPr>
          <w:rFonts w:ascii="Times New Roman" w:hAnsi="Times New Roman" w:cs="Times New Roman"/>
          <w:i/>
          <w:iCs/>
          <w:lang w:val="en-US"/>
        </w:rPr>
        <w:t>Knowledge-Hub.circle-Lab.com</w:t>
      </w:r>
      <w:r w:rsidRPr="00E40783">
        <w:rPr>
          <w:rFonts w:ascii="Times New Roman" w:hAnsi="Times New Roman" w:cs="Times New Roman"/>
          <w:lang w:val="en-US"/>
        </w:rPr>
        <w:t>, knowledge-hub.circle-economy.com/article/5040?n=China%27s-Sponge-Cities-program.</w:t>
      </w:r>
    </w:p>
    <w:p w:rsidRPr="00E40783" w:rsidR="00B62616" w:rsidRDefault="00B62616" w14:paraId="540FE16F" w14:textId="77777777">
      <w:pPr>
        <w:pStyle w:val="a0"/>
        <w:suppressAutoHyphens/>
        <w:spacing w:before="0" w:line="420" w:lineRule="auto"/>
        <w:ind w:left="960" w:hanging="960"/>
        <w:rPr>
          <w:rFonts w:ascii="Times New Roman" w:hAnsi="Times New Roman" w:eastAsia="Arial" w:cs="Times New Roman"/>
          <w:lang w:val="en-US"/>
        </w:rPr>
      </w:pPr>
    </w:p>
    <w:p w:rsidRPr="00E40783" w:rsidR="00B62616" w:rsidRDefault="00000000" w14:paraId="00484B9A" w14:textId="77777777">
      <w:pPr>
        <w:pStyle w:val="a0"/>
        <w:suppressAutoHyphens/>
        <w:spacing w:before="0" w:line="420" w:lineRule="auto"/>
        <w:ind w:left="960" w:hanging="960"/>
        <w:rPr>
          <w:rFonts w:ascii="Times New Roman" w:hAnsi="Times New Roman" w:eastAsia="Arial" w:cs="Times New Roman"/>
        </w:rPr>
      </w:pPr>
      <w:r w:rsidRPr="00E40783">
        <w:rPr>
          <w:rFonts w:ascii="Times New Roman" w:hAnsi="Times New Roman" w:cs="Times New Roman"/>
        </w:rPr>
        <w:t xml:space="preserve">C40 Cities. </w:t>
      </w:r>
      <w:r w:rsidRPr="00E40783">
        <w:rPr>
          <w:rFonts w:ascii="Times New Roman" w:hAnsi="Times New Roman" w:cs="Times New Roman"/>
          <w:rtl/>
          <w:lang w:val="ar-SA"/>
        </w:rPr>
        <w:t>“</w:t>
      </w:r>
      <w:r w:rsidRPr="00E40783">
        <w:rPr>
          <w:rFonts w:ascii="Times New Roman" w:hAnsi="Times New Roman" w:cs="Times New Roman"/>
          <w:lang w:val="en-US"/>
        </w:rPr>
        <w:t>C40 Good Practice Guides: Copenhagen - City of Cyclists.</w:t>
      </w:r>
      <w:r w:rsidRPr="00E40783">
        <w:rPr>
          <w:rFonts w:ascii="Times New Roman" w:hAnsi="Times New Roman" w:cs="Times New Roman"/>
        </w:rPr>
        <w:t xml:space="preserve">” </w:t>
      </w:r>
      <w:r w:rsidRPr="00E40783">
        <w:rPr>
          <w:rFonts w:ascii="Times New Roman" w:hAnsi="Times New Roman" w:cs="Times New Roman"/>
          <w:i/>
          <w:iCs/>
          <w:lang w:val="en-US"/>
        </w:rPr>
        <w:t>C40 Cities</w:t>
      </w:r>
      <w:r w:rsidRPr="00E40783">
        <w:rPr>
          <w:rFonts w:ascii="Times New Roman" w:hAnsi="Times New Roman" w:cs="Times New Roman"/>
          <w:lang w:val="en-US"/>
        </w:rPr>
        <w:t>, Feb. 2016, www.c40.org/case-studies/c40-good-practice-guides-copenhagen-city-of-cyclists/.</w:t>
      </w:r>
    </w:p>
    <w:p w:rsidRPr="00E40783" w:rsidR="00B62616" w:rsidRDefault="00B62616" w14:paraId="7088F21D" w14:textId="77777777">
      <w:pPr>
        <w:pStyle w:val="a0"/>
        <w:suppressAutoHyphens/>
        <w:spacing w:before="0" w:line="420" w:lineRule="auto"/>
        <w:ind w:left="960" w:hanging="960"/>
        <w:rPr>
          <w:rFonts w:ascii="Times New Roman" w:hAnsi="Times New Roman" w:eastAsia="Arial" w:cs="Times New Roman"/>
        </w:rPr>
      </w:pPr>
    </w:p>
    <w:p w:rsidRPr="00E40783" w:rsidR="00B62616" w:rsidRDefault="00000000" w14:paraId="50BD31F4" w14:textId="77777777">
      <w:pPr>
        <w:pStyle w:val="AA"/>
        <w:suppressAutoHyphens/>
        <w:spacing w:before="0" w:after="340" w:line="420" w:lineRule="auto"/>
        <w:ind w:left="567" w:hanging="567"/>
        <w:rPr>
          <w:rFonts w:ascii="Times New Roman" w:hAnsi="Times New Roman" w:eastAsia="Arial" w:cs="Times New Roman"/>
        </w:rPr>
      </w:pPr>
      <w:r w:rsidRPr="00E40783">
        <w:rPr>
          <w:rFonts w:ascii="Times New Roman" w:hAnsi="Times New Roman" w:cs="Times New Roman"/>
        </w:rPr>
        <w:t xml:space="preserve">EPA. </w:t>
      </w:r>
      <w:r w:rsidRPr="00E40783">
        <w:rPr>
          <w:rFonts w:ascii="Times New Roman" w:hAnsi="Times New Roman" w:cs="Times New Roman"/>
          <w:rtl/>
          <w:lang w:val="ar-SA"/>
        </w:rPr>
        <w:t>“</w:t>
      </w:r>
      <w:r w:rsidRPr="00E40783">
        <w:rPr>
          <w:rFonts w:ascii="Times New Roman" w:hAnsi="Times New Roman" w:cs="Times New Roman"/>
        </w:rPr>
        <w:t xml:space="preserve">Urbanization - Overview.” </w:t>
      </w:r>
      <w:r w:rsidRPr="00E40783">
        <w:rPr>
          <w:rFonts w:ascii="Times New Roman" w:hAnsi="Times New Roman" w:cs="Times New Roman"/>
          <w:i/>
          <w:iCs/>
        </w:rPr>
        <w:t>Www.epa.gov</w:t>
      </w:r>
      <w:r w:rsidRPr="00E40783">
        <w:rPr>
          <w:rFonts w:ascii="Times New Roman" w:hAnsi="Times New Roman" w:cs="Times New Roman"/>
        </w:rPr>
        <w:t>, 3 Nov. 2015, www.epa.gov/caddis/urbanization-overview.</w:t>
      </w:r>
    </w:p>
    <w:p w:rsidRPr="00E40783" w:rsidR="00B62616" w:rsidRDefault="00000000" w14:paraId="0532499E" w14:textId="77777777">
      <w:pPr>
        <w:pStyle w:val="a0"/>
        <w:suppressAutoHyphens/>
        <w:spacing w:before="0" w:line="420" w:lineRule="auto"/>
        <w:ind w:left="960" w:hanging="960"/>
        <w:rPr>
          <w:rFonts w:ascii="Times New Roman" w:hAnsi="Times New Roman" w:eastAsia="Arial" w:cs="Times New Roman"/>
        </w:rPr>
      </w:pPr>
      <w:r w:rsidRPr="00E40783">
        <w:rPr>
          <w:rFonts w:ascii="Times New Roman" w:hAnsi="Times New Roman" w:cs="Times New Roman"/>
        </w:rPr>
        <w:t xml:space="preserve">Faiza Chikhi, et al. </w:t>
      </w:r>
      <w:r w:rsidRPr="00E40783">
        <w:rPr>
          <w:rFonts w:ascii="Times New Roman" w:hAnsi="Times New Roman" w:cs="Times New Roman"/>
          <w:rtl/>
          <w:lang w:val="ar-SA"/>
        </w:rPr>
        <w:t>“</w:t>
      </w:r>
      <w:r w:rsidRPr="00E40783">
        <w:rPr>
          <w:rFonts w:ascii="Times New Roman" w:hAnsi="Times New Roman" w:cs="Times New Roman"/>
          <w:lang w:val="en-US"/>
        </w:rPr>
        <w:t>Review of Sponge City Implementation in China: Performance and Policy.</w:t>
      </w:r>
      <w:r w:rsidRPr="00E40783">
        <w:rPr>
          <w:rFonts w:ascii="Times New Roman" w:hAnsi="Times New Roman" w:cs="Times New Roman"/>
        </w:rPr>
        <w:t xml:space="preserve">” </w:t>
      </w:r>
      <w:r w:rsidRPr="00E40783">
        <w:rPr>
          <w:rFonts w:ascii="Times New Roman" w:hAnsi="Times New Roman" w:cs="Times New Roman"/>
          <w:i/>
          <w:iCs/>
          <w:lang w:val="en-US"/>
        </w:rPr>
        <w:t>Water Science and Technology</w:t>
      </w:r>
      <w:r w:rsidRPr="00E40783">
        <w:rPr>
          <w:rFonts w:ascii="Times New Roman" w:hAnsi="Times New Roman" w:cs="Times New Roman"/>
          <w:lang w:val="en-US"/>
        </w:rPr>
        <w:t>, vol. 88, no. 10, 24 Oct. 2023, https://doi.org/10.2166/wst.2023.312.</w:t>
      </w:r>
    </w:p>
    <w:p w:rsidRPr="00E40783" w:rsidR="00B62616" w:rsidRDefault="00B62616" w14:paraId="753EDC0E" w14:textId="77777777">
      <w:pPr>
        <w:pStyle w:val="a0"/>
        <w:suppressAutoHyphens/>
        <w:spacing w:before="0" w:line="420" w:lineRule="auto"/>
        <w:ind w:left="960" w:hanging="960"/>
        <w:rPr>
          <w:rFonts w:ascii="Times New Roman" w:hAnsi="Times New Roman" w:eastAsia="Arial" w:cs="Times New Roman"/>
        </w:rPr>
      </w:pPr>
    </w:p>
    <w:p w:rsidRPr="00E40783" w:rsidR="00B62616" w:rsidRDefault="00000000" w14:paraId="078D04FE" w14:textId="77777777">
      <w:pPr>
        <w:pStyle w:val="AA"/>
        <w:suppressAutoHyphens/>
        <w:spacing w:before="0" w:after="340" w:line="420" w:lineRule="auto"/>
        <w:ind w:left="567" w:hanging="567"/>
        <w:rPr>
          <w:rFonts w:ascii="Times New Roman" w:hAnsi="Times New Roman" w:eastAsia="Arial" w:cs="Times New Roman"/>
        </w:rPr>
      </w:pPr>
      <w:r w:rsidRPr="00E40783">
        <w:rPr>
          <w:rFonts w:ascii="Times New Roman" w:hAnsi="Times New Roman" w:cs="Times New Roman"/>
          <w:i/>
          <w:iCs/>
          <w:lang w:val="de-DE"/>
        </w:rPr>
        <w:t>HABITAT III NEW URBAN AGENDA</w:t>
      </w:r>
      <w:r w:rsidRPr="00E40783">
        <w:rPr>
          <w:rFonts w:ascii="Times New Roman" w:hAnsi="Times New Roman" w:cs="Times New Roman"/>
        </w:rPr>
        <w:t>. 2016.</w:t>
      </w:r>
    </w:p>
    <w:p w:rsidRPr="00E40783" w:rsidR="00B62616" w:rsidRDefault="00000000" w14:paraId="48053A26" w14:textId="77777777">
      <w:pPr>
        <w:pStyle w:val="a0"/>
        <w:suppressAutoHyphens/>
        <w:spacing w:before="0" w:line="420" w:lineRule="auto"/>
        <w:ind w:left="960" w:hanging="960"/>
        <w:rPr>
          <w:rFonts w:ascii="Times New Roman" w:hAnsi="Times New Roman" w:eastAsia="Arial" w:cs="Times New Roman"/>
        </w:rPr>
      </w:pPr>
      <w:r w:rsidRPr="00E40783">
        <w:rPr>
          <w:rFonts w:ascii="Times New Roman" w:hAnsi="Times New Roman" w:cs="Times New Roman"/>
        </w:rPr>
        <w:t xml:space="preserve">Hill-Lewis, Geordin. </w:t>
      </w:r>
      <w:r w:rsidRPr="00E40783">
        <w:rPr>
          <w:rFonts w:ascii="Times New Roman" w:hAnsi="Times New Roman" w:cs="Times New Roman"/>
          <w:rtl/>
          <w:lang w:val="ar-SA"/>
        </w:rPr>
        <w:t>“</w:t>
      </w:r>
      <w:r w:rsidRPr="00E40783">
        <w:rPr>
          <w:rFonts w:ascii="Times New Roman" w:hAnsi="Times New Roman" w:cs="Times New Roman"/>
          <w:lang w:val="en-US"/>
        </w:rPr>
        <w:t>Cape Town: Lessons from Managing Water Scarcity.</w:t>
      </w:r>
      <w:r w:rsidRPr="00E40783">
        <w:rPr>
          <w:rFonts w:ascii="Times New Roman" w:hAnsi="Times New Roman" w:cs="Times New Roman"/>
        </w:rPr>
        <w:t xml:space="preserve">” </w:t>
      </w:r>
      <w:r w:rsidRPr="00E40783">
        <w:rPr>
          <w:rFonts w:ascii="Times New Roman" w:hAnsi="Times New Roman" w:cs="Times New Roman"/>
          <w:i/>
          <w:iCs/>
          <w:lang w:val="en-US"/>
        </w:rPr>
        <w:t>Brookings</w:t>
      </w:r>
      <w:r w:rsidRPr="00E40783">
        <w:rPr>
          <w:rFonts w:ascii="Times New Roman" w:hAnsi="Times New Roman" w:cs="Times New Roman"/>
          <w:lang w:val="en-US"/>
        </w:rPr>
        <w:t>, The Brookings Institution, 22 Mar. 2023, www.brookings.edu/articles/cape-town-lessons-from-managing-water-scarcity/.</w:t>
      </w:r>
    </w:p>
    <w:p w:rsidRPr="00E40783" w:rsidR="00B62616" w:rsidRDefault="00000000" w14:paraId="0B948E49" w14:textId="77777777">
      <w:pPr>
        <w:pStyle w:val="a0"/>
        <w:suppressAutoHyphens/>
        <w:spacing w:before="0" w:line="420" w:lineRule="auto"/>
        <w:ind w:left="960" w:hanging="960"/>
        <w:rPr>
          <w:rFonts w:ascii="Times New Roman" w:hAnsi="Times New Roman" w:eastAsia="Times New Roman" w:cs="Times New Roman"/>
        </w:rPr>
      </w:pPr>
      <w:r w:rsidRPr="00E40783">
        <w:rPr>
          <w:rFonts w:ascii="Times New Roman" w:hAnsi="Times New Roman" w:cs="Times New Roman"/>
          <w:lang w:val="de-DE"/>
        </w:rPr>
        <w:t xml:space="preserve">Kunz, </w:t>
      </w:r>
      <w:proofErr w:type="spellStart"/>
      <w:r w:rsidRPr="00E40783">
        <w:rPr>
          <w:rFonts w:ascii="Times New Roman" w:hAnsi="Times New Roman" w:cs="Times New Roman"/>
          <w:lang w:val="de-DE"/>
        </w:rPr>
        <w:t>Jasen</w:t>
      </w:r>
      <w:proofErr w:type="spellEnd"/>
      <w:r w:rsidRPr="00E40783">
        <w:rPr>
          <w:rFonts w:ascii="Times New Roman" w:hAnsi="Times New Roman" w:cs="Times New Roman"/>
        </w:rPr>
        <w:t xml:space="preserve"> M. </w:t>
      </w:r>
      <w:r w:rsidRPr="00E40783">
        <w:rPr>
          <w:rFonts w:ascii="Times New Roman" w:hAnsi="Times New Roman" w:cs="Times New Roman"/>
          <w:rtl/>
          <w:lang w:val="ar-SA"/>
        </w:rPr>
        <w:t>“</w:t>
      </w:r>
      <w:r w:rsidRPr="00E40783">
        <w:rPr>
          <w:rFonts w:ascii="Times New Roman" w:hAnsi="Times New Roman" w:cs="Times New Roman"/>
          <w:lang w:val="en-US"/>
        </w:rPr>
        <w:t>Surveillance of Waterborne Disease Outbreaks Associated with Drinking Water — United States, 2015</w:t>
      </w:r>
      <w:r w:rsidRPr="00E40783">
        <w:rPr>
          <w:rFonts w:ascii="Times New Roman" w:hAnsi="Times New Roman" w:cs="Times New Roman"/>
        </w:rPr>
        <w:t xml:space="preserve">–2020.” </w:t>
      </w:r>
      <w:r w:rsidRPr="00E40783">
        <w:rPr>
          <w:rFonts w:ascii="Times New Roman" w:hAnsi="Times New Roman" w:cs="Times New Roman"/>
          <w:i/>
          <w:iCs/>
          <w:lang w:val="fr-FR"/>
        </w:rPr>
        <w:t xml:space="preserve">MMWR. Surveillance </w:t>
      </w:r>
      <w:proofErr w:type="spellStart"/>
      <w:r w:rsidRPr="00E40783">
        <w:rPr>
          <w:rFonts w:ascii="Times New Roman" w:hAnsi="Times New Roman" w:cs="Times New Roman"/>
          <w:i/>
          <w:iCs/>
          <w:lang w:val="fr-FR"/>
        </w:rPr>
        <w:t>Summaries</w:t>
      </w:r>
      <w:proofErr w:type="spellEnd"/>
      <w:r w:rsidRPr="00E40783">
        <w:rPr>
          <w:rFonts w:ascii="Times New Roman" w:hAnsi="Times New Roman" w:cs="Times New Roman"/>
          <w:lang w:val="en-US"/>
        </w:rPr>
        <w:t xml:space="preserve">, vol. 73, no. 1, 14 Mar. 2024, </w:t>
      </w:r>
      <w:r w:rsidRPr="00E40783">
        <w:rPr>
          <w:rFonts w:ascii="Times New Roman" w:hAnsi="Times New Roman" w:cs="Times New Roman"/>
          <w:lang w:val="en-US"/>
        </w:rPr>
        <w:t>www.cdc.gov/mmwr/volumes/73/ss/ss7301a1.htm?s_cid=ss7301a1_w, https://doi.org/10.15585/mmwr.ss7301a1.</w:t>
      </w:r>
    </w:p>
    <w:p w:rsidRPr="00E40783" w:rsidR="00B62616" w:rsidRDefault="00000000" w14:paraId="5D234F20" w14:textId="77777777">
      <w:pPr>
        <w:pStyle w:val="AA"/>
        <w:suppressAutoHyphens/>
        <w:spacing w:before="0" w:after="340" w:line="420" w:lineRule="auto"/>
        <w:ind w:left="567" w:hanging="567"/>
        <w:rPr>
          <w:rFonts w:ascii="Times New Roman" w:hAnsi="Times New Roman" w:eastAsia="Times New Roman" w:cs="Times New Roman"/>
        </w:rPr>
      </w:pPr>
      <w:r w:rsidRPr="00E40783">
        <w:rPr>
          <w:rFonts w:ascii="Times New Roman" w:hAnsi="Times New Roman" w:cs="Times New Roman"/>
          <w:rtl/>
          <w:lang w:val="ar-SA"/>
        </w:rPr>
        <w:t>“</w:t>
      </w:r>
      <w:r w:rsidRPr="00E40783">
        <w:rPr>
          <w:rFonts w:ascii="Times New Roman" w:hAnsi="Times New Roman" w:cs="Times New Roman"/>
        </w:rPr>
        <w:t xml:space="preserve">LinkedIn.” </w:t>
      </w:r>
      <w:r w:rsidRPr="00E40783">
        <w:rPr>
          <w:rFonts w:ascii="Times New Roman" w:hAnsi="Times New Roman" w:cs="Times New Roman"/>
          <w:i/>
          <w:iCs/>
        </w:rPr>
        <w:t>Linkedin.com</w:t>
      </w:r>
      <w:r w:rsidRPr="00E40783">
        <w:rPr>
          <w:rFonts w:ascii="Times New Roman" w:hAnsi="Times New Roman" w:cs="Times New Roman"/>
        </w:rPr>
        <w:t>, 2025, www.linkedin.com/pulse/future-sustainable-cities-urban-green- solutions-2025-blessing-vumse.</w:t>
      </w:r>
    </w:p>
    <w:p w:rsidRPr="00E40783" w:rsidR="00B62616" w:rsidRDefault="00000000" w14:paraId="2E9F58D7" w14:textId="77777777">
      <w:pPr>
        <w:pStyle w:val="AA"/>
        <w:suppressAutoHyphens/>
        <w:spacing w:before="0" w:after="340" w:line="420" w:lineRule="auto"/>
        <w:ind w:left="567" w:hanging="567"/>
        <w:rPr>
          <w:rFonts w:ascii="Times New Roman" w:hAnsi="Times New Roman" w:eastAsia="Times New Roman" w:cs="Times New Roman"/>
        </w:rPr>
      </w:pPr>
      <w:r w:rsidRPr="00E40783">
        <w:rPr>
          <w:rFonts w:ascii="Times New Roman" w:hAnsi="Times New Roman" w:cs="Times New Roman"/>
          <w:rtl/>
          <w:lang w:val="ar-SA"/>
        </w:rPr>
        <w:t>“</w:t>
      </w:r>
      <w:r w:rsidRPr="00E40783">
        <w:rPr>
          <w:rFonts w:ascii="Times New Roman" w:hAnsi="Times New Roman" w:cs="Times New Roman"/>
        </w:rPr>
        <w:t xml:space="preserve">Now Available: The Sustainable Development Report 2025.” </w:t>
      </w:r>
      <w:r w:rsidRPr="00E40783">
        <w:rPr>
          <w:rFonts w:ascii="Times New Roman" w:hAnsi="Times New Roman" w:cs="Times New Roman"/>
          <w:i/>
          <w:iCs/>
        </w:rPr>
        <w:t>Sdgtransformationcenter.org</w:t>
      </w:r>
      <w:r w:rsidRPr="00E40783">
        <w:rPr>
          <w:rFonts w:ascii="Times New Roman" w:hAnsi="Times New Roman" w:cs="Times New Roman"/>
        </w:rPr>
        <w:t>, 2025, sdgtransformationcenter.org/news/press-release-sustainable-development-report-2025.</w:t>
      </w:r>
    </w:p>
    <w:p w:rsidRPr="00E40783" w:rsidR="00B62616" w:rsidRDefault="00000000" w14:paraId="321FFE42" w14:textId="77777777">
      <w:pPr>
        <w:pStyle w:val="AA"/>
        <w:suppressAutoHyphens/>
        <w:spacing w:before="0" w:after="340" w:line="420" w:lineRule="auto"/>
        <w:ind w:left="567" w:hanging="567"/>
        <w:rPr>
          <w:rFonts w:ascii="Times New Roman" w:hAnsi="Times New Roman" w:eastAsia="Times New Roman" w:cs="Times New Roman"/>
        </w:rPr>
      </w:pPr>
      <w:r w:rsidRPr="00E40783">
        <w:rPr>
          <w:rFonts w:ascii="Times New Roman" w:hAnsi="Times New Roman" w:cs="Times New Roman"/>
          <w:i/>
          <w:iCs/>
        </w:rPr>
        <w:t>Summary Report on the Workshop on Pre-2020 Ambition: Urbanization and the Role of Governments in Facilitating Climate Action in Cities ADP 2, Part 3 Note by the Facilitator</w:t>
      </w:r>
      <w:r w:rsidRPr="00E40783">
        <w:rPr>
          <w:rFonts w:ascii="Times New Roman" w:hAnsi="Times New Roman" w:cs="Times New Roman"/>
        </w:rPr>
        <w:t>. 2013.</w:t>
      </w:r>
    </w:p>
    <w:p w:rsidRPr="00E40783" w:rsidR="00B62616" w:rsidRDefault="00000000" w14:paraId="1069EEC4" w14:textId="77777777">
      <w:pPr>
        <w:pStyle w:val="AA"/>
        <w:suppressAutoHyphens/>
        <w:spacing w:before="0" w:after="340" w:line="420" w:lineRule="auto"/>
        <w:ind w:left="567" w:hanging="567"/>
        <w:rPr>
          <w:rFonts w:ascii="Times New Roman" w:hAnsi="Times New Roman" w:eastAsia="Times New Roman" w:cs="Times New Roman"/>
        </w:rPr>
      </w:pPr>
      <w:r w:rsidRPr="00E40783">
        <w:rPr>
          <w:rFonts w:ascii="Times New Roman" w:hAnsi="Times New Roman" w:cs="Times New Roman"/>
          <w:i/>
          <w:iCs/>
        </w:rPr>
        <w:t>Sustainable Development High-Level Political Forum on Sustainable Development, Convened under the Auspices of the Economic and Social Council Progress towards the Sustainable Development Goals Report of the Secretary-General Summary</w:t>
      </w:r>
      <w:r w:rsidRPr="00E40783">
        <w:rPr>
          <w:rFonts w:ascii="Times New Roman" w:hAnsi="Times New Roman" w:cs="Times New Roman"/>
        </w:rPr>
        <w:t>. 2024.</w:t>
      </w:r>
    </w:p>
    <w:p w:rsidRPr="00E40783" w:rsidR="00B62616" w:rsidRDefault="00000000" w14:paraId="4AF97EF0" w14:textId="77777777">
      <w:pPr>
        <w:pStyle w:val="AA"/>
        <w:suppressAutoHyphens/>
        <w:spacing w:before="0" w:after="340" w:line="420" w:lineRule="auto"/>
        <w:ind w:left="567" w:hanging="567"/>
        <w:rPr>
          <w:rFonts w:ascii="Times New Roman" w:hAnsi="Times New Roman" w:eastAsia="Times New Roman" w:cs="Times New Roman"/>
        </w:rPr>
      </w:pPr>
      <w:r w:rsidRPr="00E40783">
        <w:rPr>
          <w:rFonts w:ascii="Times New Roman" w:hAnsi="Times New Roman" w:cs="Times New Roman"/>
          <w:rtl/>
          <w:lang w:val="ar-SA"/>
        </w:rPr>
        <w:t>“</w:t>
      </w:r>
      <w:r w:rsidRPr="00E40783">
        <w:rPr>
          <w:rFonts w:ascii="Times New Roman" w:hAnsi="Times New Roman" w:cs="Times New Roman"/>
        </w:rPr>
        <w:t xml:space="preserve">The Revised Urban Agenda Guidelines | Urban Agenda Platform.” </w:t>
      </w:r>
      <w:r w:rsidRPr="00E40783">
        <w:rPr>
          <w:rFonts w:ascii="Times New Roman" w:hAnsi="Times New Roman" w:cs="Times New Roman"/>
          <w:i/>
          <w:iCs/>
        </w:rPr>
        <w:t>Urbanagendaplatform.org</w:t>
      </w:r>
      <w:r w:rsidRPr="00E40783">
        <w:rPr>
          <w:rFonts w:ascii="Times New Roman" w:hAnsi="Times New Roman" w:cs="Times New Roman"/>
        </w:rPr>
        <w:t xml:space="preserve">, 2022, www.urbanagendaplatform.org/news/revised-urban-agenda-guidelines. </w:t>
      </w:r>
    </w:p>
    <w:p w:rsidRPr="00E40783" w:rsidR="00B62616" w:rsidRDefault="00000000" w14:paraId="60879DB2" w14:textId="77777777">
      <w:pPr>
        <w:pStyle w:val="AA"/>
        <w:suppressAutoHyphens/>
        <w:spacing w:before="0" w:after="340" w:line="420" w:lineRule="auto"/>
        <w:ind w:left="567" w:hanging="567"/>
        <w:rPr>
          <w:rFonts w:ascii="Times New Roman" w:hAnsi="Times New Roman" w:eastAsia="Times New Roman" w:cs="Times New Roman"/>
        </w:rPr>
      </w:pPr>
      <w:r w:rsidRPr="00E40783">
        <w:rPr>
          <w:rFonts w:ascii="Times New Roman" w:hAnsi="Times New Roman" w:cs="Times New Roman"/>
        </w:rPr>
        <w:t xml:space="preserve">U.N. Environment. </w:t>
      </w:r>
      <w:r w:rsidRPr="00E40783">
        <w:rPr>
          <w:rFonts w:ascii="Times New Roman" w:hAnsi="Times New Roman" w:cs="Times New Roman"/>
          <w:rtl/>
          <w:lang w:val="ar-SA"/>
        </w:rPr>
        <w:t>“</w:t>
      </w:r>
      <w:r w:rsidRPr="00E40783">
        <w:rPr>
          <w:rFonts w:ascii="Times New Roman" w:hAnsi="Times New Roman" w:cs="Times New Roman"/>
        </w:rPr>
        <w:t xml:space="preserve">Cities and Climate Change.” </w:t>
      </w:r>
      <w:r w:rsidRPr="00E40783">
        <w:rPr>
          <w:rFonts w:ascii="Times New Roman" w:hAnsi="Times New Roman" w:cs="Times New Roman"/>
          <w:i/>
          <w:iCs/>
        </w:rPr>
        <w:t xml:space="preserve">UNEP - UN Environment </w:t>
      </w:r>
      <w:proofErr w:type="spellStart"/>
      <w:r w:rsidRPr="00E40783">
        <w:rPr>
          <w:rFonts w:ascii="Times New Roman" w:hAnsi="Times New Roman" w:cs="Times New Roman"/>
          <w:i/>
          <w:iCs/>
        </w:rPr>
        <w:t>Programme</w:t>
      </w:r>
      <w:proofErr w:type="spellEnd"/>
      <w:r w:rsidRPr="00E40783">
        <w:rPr>
          <w:rFonts w:ascii="Times New Roman" w:hAnsi="Times New Roman" w:cs="Times New Roman"/>
        </w:rPr>
        <w:t>, 2022, www.unep.org/explore-topics/resource-efficiency/what-we-do/cities-and-climate-change.</w:t>
      </w:r>
    </w:p>
    <w:p w:rsidRPr="00E40783" w:rsidR="00B62616" w:rsidRDefault="00000000" w14:paraId="4DB98DB4" w14:textId="77777777">
      <w:pPr>
        <w:pStyle w:val="AA"/>
        <w:suppressAutoHyphens/>
        <w:spacing w:before="0" w:after="340" w:line="420" w:lineRule="auto"/>
        <w:ind w:left="567" w:hanging="567"/>
        <w:rPr>
          <w:rFonts w:ascii="Times New Roman" w:hAnsi="Times New Roman" w:eastAsia="Times New Roman" w:cs="Times New Roman"/>
        </w:rPr>
      </w:pPr>
      <w:r w:rsidRPr="00E40783">
        <w:rPr>
          <w:rFonts w:ascii="Times New Roman" w:hAnsi="Times New Roman" w:cs="Times New Roman"/>
        </w:rPr>
        <w:t xml:space="preserve">UNCED. </w:t>
      </w:r>
      <w:r w:rsidRPr="00E40783">
        <w:rPr>
          <w:rFonts w:ascii="Times New Roman" w:hAnsi="Times New Roman" w:cs="Times New Roman"/>
          <w:rtl/>
          <w:lang w:val="ar-SA"/>
        </w:rPr>
        <w:t>“</w:t>
      </w:r>
      <w:r w:rsidRPr="00E40783">
        <w:rPr>
          <w:rFonts w:ascii="Times New Roman" w:hAnsi="Times New Roman" w:cs="Times New Roman"/>
        </w:rPr>
        <w:t xml:space="preserve">Agenda 21.” </w:t>
      </w:r>
      <w:r w:rsidRPr="00E40783">
        <w:rPr>
          <w:rFonts w:ascii="Times New Roman" w:hAnsi="Times New Roman" w:cs="Times New Roman"/>
          <w:i/>
          <w:iCs/>
        </w:rPr>
        <w:t>United Nations</w:t>
      </w:r>
      <w:r w:rsidRPr="00E40783">
        <w:rPr>
          <w:rFonts w:ascii="Times New Roman" w:hAnsi="Times New Roman" w:cs="Times New Roman"/>
        </w:rPr>
        <w:t>, 2015, sustainabledevelopment.un.org/</w:t>
      </w:r>
      <w:proofErr w:type="spellStart"/>
      <w:r w:rsidRPr="00E40783">
        <w:rPr>
          <w:rFonts w:ascii="Times New Roman" w:hAnsi="Times New Roman" w:cs="Times New Roman"/>
        </w:rPr>
        <w:t>outcomedocuments</w:t>
      </w:r>
      <w:proofErr w:type="spellEnd"/>
      <w:r w:rsidRPr="00E40783">
        <w:rPr>
          <w:rFonts w:ascii="Times New Roman" w:hAnsi="Times New Roman" w:cs="Times New Roman"/>
        </w:rPr>
        <w:t>/agenda21.</w:t>
      </w:r>
    </w:p>
    <w:p w:rsidRPr="00E40783" w:rsidR="00B62616" w:rsidRDefault="00000000" w14:paraId="627E1CA3" w14:textId="77777777">
      <w:pPr>
        <w:pStyle w:val="AA"/>
        <w:suppressAutoHyphens/>
        <w:spacing w:before="0" w:after="340" w:line="420" w:lineRule="auto"/>
        <w:ind w:left="567" w:hanging="567"/>
        <w:rPr>
          <w:rFonts w:ascii="Times New Roman" w:hAnsi="Times New Roman" w:eastAsia="Times New Roman" w:cs="Times New Roman"/>
        </w:rPr>
      </w:pPr>
      <w:r w:rsidRPr="00E40783">
        <w:rPr>
          <w:rFonts w:ascii="Times New Roman" w:hAnsi="Times New Roman" w:cs="Times New Roman"/>
        </w:rPr>
        <w:t xml:space="preserve">UNFCCC. </w:t>
      </w:r>
      <w:r w:rsidRPr="00E40783">
        <w:rPr>
          <w:rFonts w:ascii="Times New Roman" w:hAnsi="Times New Roman" w:cs="Times New Roman"/>
          <w:rtl/>
          <w:lang w:val="ar-SA"/>
        </w:rPr>
        <w:t>“</w:t>
      </w:r>
      <w:r w:rsidRPr="00E40783">
        <w:rPr>
          <w:rFonts w:ascii="Times New Roman" w:hAnsi="Times New Roman" w:cs="Times New Roman"/>
        </w:rPr>
        <w:t xml:space="preserve">The Paris Agreement.” </w:t>
      </w:r>
      <w:r w:rsidRPr="00E40783">
        <w:rPr>
          <w:rFonts w:ascii="Times New Roman" w:hAnsi="Times New Roman" w:cs="Times New Roman"/>
          <w:i/>
          <w:iCs/>
        </w:rPr>
        <w:t>United Nations Climate Change</w:t>
      </w:r>
      <w:r w:rsidRPr="00E40783">
        <w:rPr>
          <w:rFonts w:ascii="Times New Roman" w:hAnsi="Times New Roman" w:cs="Times New Roman"/>
        </w:rPr>
        <w:t>, United Nations, 2015, unfccc.int/process-and-meetings/the-</w:t>
      </w:r>
      <w:proofErr w:type="spellStart"/>
      <w:r w:rsidRPr="00E40783">
        <w:rPr>
          <w:rFonts w:ascii="Times New Roman" w:hAnsi="Times New Roman" w:cs="Times New Roman"/>
        </w:rPr>
        <w:t>paris</w:t>
      </w:r>
      <w:proofErr w:type="spellEnd"/>
      <w:r w:rsidRPr="00E40783">
        <w:rPr>
          <w:rFonts w:ascii="Times New Roman" w:hAnsi="Times New Roman" w:cs="Times New Roman"/>
        </w:rPr>
        <w:t>-agreement.</w:t>
      </w:r>
    </w:p>
    <w:p w:rsidRPr="00E40783" w:rsidR="00B62616" w:rsidRDefault="00000000" w14:paraId="1B1D88C9" w14:textId="77777777">
      <w:pPr>
        <w:pStyle w:val="AA"/>
        <w:suppressAutoHyphens/>
        <w:spacing w:before="0" w:after="340" w:line="420" w:lineRule="auto"/>
        <w:ind w:left="567" w:hanging="567"/>
        <w:rPr>
          <w:rFonts w:ascii="Times New Roman" w:hAnsi="Times New Roman" w:eastAsia="Times New Roman" w:cs="Times New Roman"/>
        </w:rPr>
      </w:pPr>
      <w:r w:rsidRPr="00E40783">
        <w:rPr>
          <w:rFonts w:ascii="Times New Roman" w:hAnsi="Times New Roman" w:cs="Times New Roman"/>
        </w:rPr>
        <w:t xml:space="preserve">University of Michigan. </w:t>
      </w:r>
      <w:r w:rsidRPr="00E40783">
        <w:rPr>
          <w:rFonts w:ascii="Times New Roman" w:hAnsi="Times New Roman" w:cs="Times New Roman"/>
          <w:rtl/>
          <w:lang w:val="ar-SA"/>
        </w:rPr>
        <w:t>“</w:t>
      </w:r>
      <w:r w:rsidRPr="00E40783">
        <w:rPr>
          <w:rFonts w:ascii="Times New Roman" w:hAnsi="Times New Roman" w:cs="Times New Roman"/>
        </w:rPr>
        <w:t xml:space="preserve">U.S. Cities Factsheet.” </w:t>
      </w:r>
      <w:r w:rsidRPr="00E40783">
        <w:rPr>
          <w:rFonts w:ascii="Times New Roman" w:hAnsi="Times New Roman" w:cs="Times New Roman"/>
          <w:i/>
          <w:iCs/>
        </w:rPr>
        <w:t>Center for Sustainable Systems</w:t>
      </w:r>
      <w:r w:rsidRPr="00E40783">
        <w:rPr>
          <w:rFonts w:ascii="Times New Roman" w:hAnsi="Times New Roman" w:cs="Times New Roman"/>
        </w:rPr>
        <w:t>, 2023, css.umich.edu/publications/factsheets/built-environment/us-cities-factsheet.</w:t>
      </w:r>
    </w:p>
    <w:p w:rsidRPr="00E40783" w:rsidR="00B62616" w:rsidRDefault="00B62616" w14:paraId="57154C41" w14:textId="77777777">
      <w:pPr>
        <w:pStyle w:val="A"/>
        <w:spacing w:line="420" w:lineRule="auto"/>
        <w:rPr>
          <w:rFonts w:ascii="Times New Roman" w:hAnsi="Times New Roman" w:eastAsia="Arial" w:cs="Times New Roman"/>
          <w:color w:val="C32754"/>
          <w:sz w:val="22"/>
          <w:szCs w:val="22"/>
          <w:u w:color="C32754"/>
        </w:rPr>
      </w:pPr>
    </w:p>
    <w:p w:rsidRPr="00E40783" w:rsidR="00B62616" w:rsidRDefault="00B62616" w14:paraId="671B2D28" w14:textId="77777777">
      <w:pPr>
        <w:pStyle w:val="A"/>
        <w:spacing w:line="360" w:lineRule="auto"/>
        <w:rPr>
          <w:rFonts w:ascii="Times New Roman" w:hAnsi="Times New Roman" w:eastAsia="Arial" w:cs="Times New Roman"/>
          <w:sz w:val="10"/>
          <w:szCs w:val="10"/>
        </w:rPr>
      </w:pPr>
    </w:p>
    <w:p w:rsidRPr="00E40783" w:rsidR="00B62616" w:rsidRDefault="00B62616" w14:paraId="18A045AE" w14:textId="77777777">
      <w:pPr>
        <w:pStyle w:val="A"/>
        <w:spacing w:line="360" w:lineRule="auto"/>
        <w:rPr>
          <w:rFonts w:ascii="Times New Roman" w:hAnsi="Times New Roman" w:cs="Times New Roman"/>
        </w:rPr>
      </w:pPr>
    </w:p>
    <w:sectPr w:rsidRPr="00E40783" w:rsidR="00B62616">
      <w:headerReference w:type="default" r:id="rId7"/>
      <w:footerReference w:type="default" r:id="rId8"/>
      <w:pgSz w:w="11900" w:h="16840" w:orient="portrait"/>
      <w:pgMar w:top="1134" w:right="843" w:bottom="1134"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6AE" w:rsidRDefault="005616AE" w14:paraId="7ED27078" w14:textId="77777777">
      <w:r>
        <w:separator/>
      </w:r>
    </w:p>
  </w:endnote>
  <w:endnote w:type="continuationSeparator" w:id="0">
    <w:p w:rsidR="005616AE" w:rsidRDefault="005616AE" w14:paraId="0E5665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pple SD 산돌고딕 Neo 일반체">
    <w:altName w:val="Malgun Gothic"/>
    <w:panose1 w:val="02000300000000000000"/>
    <w:charset w:val="00"/>
    <w:family w:val="roman"/>
    <w:pitch w:val="default"/>
  </w:font>
  <w:font w:name="Apple SD 산돌고딕 Neo 볼드체">
    <w:altName w:val="Malgun Gothic"/>
    <w:panose1 w:val="02000300000000000000"/>
    <w:charset w:val="81"/>
    <w:family w:val="auto"/>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616" w:rsidRDefault="00000000" w14:paraId="3C5A212C" w14:textId="77777777">
    <w:pPr>
      <w:pStyle w:val="A"/>
      <w:tabs>
        <w:tab w:val="center" w:pos="4320"/>
        <w:tab w:val="right" w:pos="8640"/>
      </w:tabs>
      <w:spacing w:after="0"/>
      <w:jc w:val="right"/>
    </w:pPr>
    <w:r>
      <w:rPr>
        <w:rFonts w:ascii="Arial" w:hAnsi="Arial"/>
        <w:sz w:val="18"/>
        <w:szCs w:val="18"/>
      </w:rPr>
      <w:t xml:space="preserve"> </w:t>
    </w:r>
    <w:r>
      <w:rPr>
        <w:rFonts w:ascii="Arial" w:hAnsi="Arial"/>
        <w:b/>
        <w:bCs/>
        <w:sz w:val="18"/>
        <w:szCs w:val="18"/>
      </w:rPr>
      <w:t>Research Report</w:t>
    </w:r>
    <w:r>
      <w:rPr>
        <w:rFonts w:ascii="Arial" w:hAnsi="Arial"/>
        <w:sz w:val="18"/>
        <w:szCs w:val="18"/>
      </w:rPr>
      <w:t xml:space="preserve"> | Page </w:t>
    </w:r>
    <w:r>
      <w:rPr>
        <w:rFonts w:ascii="Arial" w:hAnsi="Arial" w:eastAsia="Arial" w:cs="Arial"/>
        <w:sz w:val="18"/>
        <w:szCs w:val="18"/>
      </w:rPr>
      <w:fldChar w:fldCharType="begin"/>
    </w:r>
    <w:r>
      <w:rPr>
        <w:rFonts w:ascii="Arial" w:hAnsi="Arial" w:eastAsia="Arial" w:cs="Arial"/>
        <w:sz w:val="18"/>
        <w:szCs w:val="18"/>
      </w:rPr>
      <w:instrText xml:space="preserve"> PAGE </w:instrText>
    </w:r>
    <w:r>
      <w:rPr>
        <w:rFonts w:ascii="Arial" w:hAnsi="Arial" w:eastAsia="Arial" w:cs="Arial"/>
        <w:sz w:val="18"/>
        <w:szCs w:val="18"/>
      </w:rPr>
      <w:fldChar w:fldCharType="separate"/>
    </w:r>
    <w:r w:rsidR="00F25177">
      <w:rPr>
        <w:rFonts w:ascii="Arial" w:hAnsi="Arial" w:eastAsia="Arial" w:cs="Arial"/>
        <w:noProof/>
        <w:sz w:val="18"/>
        <w:szCs w:val="18"/>
      </w:rPr>
      <w:t>1</w:t>
    </w:r>
    <w:r>
      <w:rPr>
        <w:rFonts w:ascii="Arial" w:hAnsi="Arial" w:eastAsia="Arial" w:cs="Arial"/>
        <w:sz w:val="18"/>
        <w:szCs w:val="18"/>
      </w:rPr>
      <w:fldChar w:fldCharType="end"/>
    </w:r>
    <w:r>
      <w:rPr>
        <w:rFonts w:ascii="Arial" w:hAnsi="Arial"/>
        <w:sz w:val="18"/>
        <w:szCs w:val="18"/>
      </w:rPr>
      <w:t xml:space="preserve"> of </w:t>
    </w:r>
    <w:r>
      <w:rPr>
        <w:rFonts w:ascii="Arial" w:hAnsi="Arial" w:eastAsia="Arial" w:cs="Arial"/>
        <w:sz w:val="18"/>
        <w:szCs w:val="18"/>
      </w:rPr>
      <w:fldChar w:fldCharType="begin"/>
    </w:r>
    <w:r>
      <w:rPr>
        <w:rFonts w:ascii="Arial" w:hAnsi="Arial" w:eastAsia="Arial" w:cs="Arial"/>
        <w:sz w:val="18"/>
        <w:szCs w:val="18"/>
      </w:rPr>
      <w:instrText xml:space="preserve"> NUMPAGES </w:instrText>
    </w:r>
    <w:r>
      <w:rPr>
        <w:rFonts w:ascii="Arial" w:hAnsi="Arial" w:eastAsia="Arial" w:cs="Arial"/>
        <w:sz w:val="18"/>
        <w:szCs w:val="18"/>
      </w:rPr>
      <w:fldChar w:fldCharType="separate"/>
    </w:r>
    <w:r w:rsidR="00F25177">
      <w:rPr>
        <w:rFonts w:ascii="Arial" w:hAnsi="Arial" w:eastAsia="Arial" w:cs="Arial"/>
        <w:noProof/>
        <w:sz w:val="18"/>
        <w:szCs w:val="18"/>
      </w:rPr>
      <w:t>2</w:t>
    </w:r>
    <w:r>
      <w:rPr>
        <w:rFonts w:ascii="Arial" w:hAnsi="Arial" w:eastAsia="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6AE" w:rsidRDefault="005616AE" w14:paraId="53782996" w14:textId="77777777">
      <w:r>
        <w:separator/>
      </w:r>
    </w:p>
  </w:footnote>
  <w:footnote w:type="continuationSeparator" w:id="0">
    <w:p w:rsidR="005616AE" w:rsidRDefault="005616AE" w14:paraId="0DB090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62616" w:rsidRDefault="00000000" w14:paraId="1F1F5DC5" w14:textId="77777777">
    <w:pPr>
      <w:pStyle w:val="A"/>
      <w:tabs>
        <w:tab w:val="center" w:pos="4320"/>
        <w:tab w:val="right" w:pos="8640"/>
      </w:tabs>
      <w:spacing w:before="708" w:after="0"/>
      <w:jc w:val="right"/>
    </w:pPr>
    <w:r>
      <w:rPr>
        <w:noProof/>
      </w:rPr>
      <mc:AlternateContent>
        <mc:Choice Requires="wps">
          <w:drawing>
            <wp:anchor distT="152400" distB="152400" distL="152400" distR="152400" simplePos="0" relativeHeight="251658240" behindDoc="1" locked="0" layoutInCell="1" allowOverlap="1" wp14:anchorId="3D90E20D" wp14:editId="7A3CEF1A">
              <wp:simplePos x="0" y="0"/>
              <wp:positionH relativeFrom="page">
                <wp:posOffset>0</wp:posOffset>
              </wp:positionH>
              <wp:positionV relativeFrom="page">
                <wp:posOffset>0</wp:posOffset>
              </wp:positionV>
              <wp:extent cx="7556500" cy="10693400"/>
              <wp:effectExtent l="0" t="0" r="0" b="0"/>
              <wp:wrapNone/>
              <wp:docPr id="1073741825" name="officeArt object" descr="직사각형"/>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w14:anchorId="1565F313">
            <v:roundrect id="_x0000_s1027"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roundrect>
          </w:pict>
        </mc:Fallback>
      </mc:AlternateContent>
    </w:r>
    <w:r>
      <w:rPr>
        <w:rFonts w:ascii="Arial" w:hAnsi="Arial"/>
        <w:b/>
        <w:bCs/>
        <w:sz w:val="18"/>
        <w:szCs w:val="18"/>
      </w:rPr>
      <w:t xml:space="preserve">Shekou International School Model United Nations </w:t>
    </w:r>
    <w:r>
      <w:rPr>
        <w:rFonts w:ascii="Arial" w:hAnsi="Arial"/>
        <w:b/>
        <w:bCs/>
        <w:color w:val="4BACC6"/>
        <w:sz w:val="18"/>
        <w:szCs w:val="18"/>
        <w:u w:color="4BACC6"/>
      </w:rPr>
      <w:t>2025</w:t>
    </w:r>
    <w:r>
      <w:rPr>
        <w:rFonts w:ascii="Arial" w:hAnsi="Arial"/>
        <w:b/>
        <w:bCs/>
        <w:sz w:val="18"/>
        <w:szCs w:val="18"/>
      </w:rPr>
      <w:t xml:space="preserve">| </w:t>
    </w:r>
    <w:r>
      <w:rPr>
        <w:rFonts w:ascii="Arial" w:hAnsi="Arial"/>
        <w:sz w:val="18"/>
        <w:szCs w:val="18"/>
      </w:rPr>
      <w:t>Annual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D5563"/>
    <w:multiLevelType w:val="hybridMultilevel"/>
    <w:tmpl w:val="DDE2CD64"/>
    <w:styleLink w:val="1"/>
    <w:lvl w:ilvl="0" w:tplc="08EEEC62">
      <w:start w:val="1"/>
      <w:numFmt w:val="bullet"/>
      <w:lvlText w:val="●"/>
      <w:lvlJc w:val="left"/>
      <w:pPr>
        <w:ind w:left="720" w:hanging="360"/>
      </w:pPr>
      <w:rPr>
        <w:rFonts w:ascii="Arial" w:hAnsi="Arial" w:eastAsia="Arial" w:cs="Arial"/>
        <w:b w:val="0"/>
        <w:bCs w:val="0"/>
        <w:i w:val="0"/>
        <w:iCs w:val="0"/>
        <w:caps w:val="0"/>
        <w:smallCaps w:val="0"/>
        <w:strike w:val="0"/>
        <w:dstrike w:val="0"/>
        <w:outline w:val="0"/>
        <w:emboss w:val="0"/>
        <w:imprint w:val="0"/>
        <w:color w:val="31849B"/>
        <w:spacing w:val="0"/>
        <w:w w:val="100"/>
        <w:kern w:val="0"/>
        <w:position w:val="0"/>
        <w:highlight w:val="none"/>
        <w:vertAlign w:val="baseline"/>
      </w:rPr>
    </w:lvl>
    <w:lvl w:ilvl="1" w:tplc="2F3EE92E">
      <w:start w:val="1"/>
      <w:numFmt w:val="bullet"/>
      <w:lvlText w:val="o"/>
      <w:lvlJc w:val="left"/>
      <w:pPr>
        <w:ind w:left="1440" w:hanging="360"/>
      </w:pPr>
      <w:rPr>
        <w:rFonts w:ascii="Arial" w:hAnsi="Arial" w:eastAsia="Arial" w:cs="Arial"/>
        <w:b w:val="0"/>
        <w:bCs w:val="0"/>
        <w:i w:val="0"/>
        <w:iCs w:val="0"/>
        <w:caps w:val="0"/>
        <w:smallCaps w:val="0"/>
        <w:strike w:val="0"/>
        <w:dstrike w:val="0"/>
        <w:outline w:val="0"/>
        <w:emboss w:val="0"/>
        <w:imprint w:val="0"/>
        <w:color w:val="31849B"/>
        <w:spacing w:val="0"/>
        <w:w w:val="100"/>
        <w:kern w:val="0"/>
        <w:position w:val="0"/>
        <w:highlight w:val="none"/>
        <w:vertAlign w:val="baseline"/>
      </w:rPr>
    </w:lvl>
    <w:lvl w:ilvl="2" w:tplc="25F2332C">
      <w:start w:val="1"/>
      <w:numFmt w:val="bullet"/>
      <w:lvlText w:val="▪"/>
      <w:lvlJc w:val="left"/>
      <w:pPr>
        <w:ind w:left="2160" w:hanging="360"/>
      </w:pPr>
      <w:rPr>
        <w:rFonts w:ascii="Arial" w:hAnsi="Arial" w:eastAsia="Arial" w:cs="Arial"/>
        <w:b w:val="0"/>
        <w:bCs w:val="0"/>
        <w:i w:val="0"/>
        <w:iCs w:val="0"/>
        <w:caps w:val="0"/>
        <w:smallCaps w:val="0"/>
        <w:strike w:val="0"/>
        <w:dstrike w:val="0"/>
        <w:outline w:val="0"/>
        <w:emboss w:val="0"/>
        <w:imprint w:val="0"/>
        <w:color w:val="31849B"/>
        <w:spacing w:val="0"/>
        <w:w w:val="100"/>
        <w:kern w:val="0"/>
        <w:position w:val="0"/>
        <w:highlight w:val="none"/>
        <w:vertAlign w:val="baseline"/>
      </w:rPr>
    </w:lvl>
    <w:lvl w:ilvl="3" w:tplc="89168C28">
      <w:start w:val="1"/>
      <w:numFmt w:val="bullet"/>
      <w:lvlText w:val="●"/>
      <w:lvlJc w:val="left"/>
      <w:pPr>
        <w:ind w:left="2880" w:hanging="360"/>
      </w:pPr>
      <w:rPr>
        <w:rFonts w:ascii="Arial" w:hAnsi="Arial" w:eastAsia="Arial" w:cs="Arial"/>
        <w:b w:val="0"/>
        <w:bCs w:val="0"/>
        <w:i w:val="0"/>
        <w:iCs w:val="0"/>
        <w:caps w:val="0"/>
        <w:smallCaps w:val="0"/>
        <w:strike w:val="0"/>
        <w:dstrike w:val="0"/>
        <w:outline w:val="0"/>
        <w:emboss w:val="0"/>
        <w:imprint w:val="0"/>
        <w:color w:val="31849B"/>
        <w:spacing w:val="0"/>
        <w:w w:val="100"/>
        <w:kern w:val="0"/>
        <w:position w:val="0"/>
        <w:highlight w:val="none"/>
        <w:vertAlign w:val="baseline"/>
      </w:rPr>
    </w:lvl>
    <w:lvl w:ilvl="4" w:tplc="6D68C306">
      <w:start w:val="1"/>
      <w:numFmt w:val="bullet"/>
      <w:lvlText w:val="o"/>
      <w:lvlJc w:val="left"/>
      <w:pPr>
        <w:ind w:left="3600" w:hanging="360"/>
      </w:pPr>
      <w:rPr>
        <w:rFonts w:ascii="Arial" w:hAnsi="Arial" w:eastAsia="Arial" w:cs="Arial"/>
        <w:b w:val="0"/>
        <w:bCs w:val="0"/>
        <w:i w:val="0"/>
        <w:iCs w:val="0"/>
        <w:caps w:val="0"/>
        <w:smallCaps w:val="0"/>
        <w:strike w:val="0"/>
        <w:dstrike w:val="0"/>
        <w:outline w:val="0"/>
        <w:emboss w:val="0"/>
        <w:imprint w:val="0"/>
        <w:color w:val="31849B"/>
        <w:spacing w:val="0"/>
        <w:w w:val="100"/>
        <w:kern w:val="0"/>
        <w:position w:val="0"/>
        <w:highlight w:val="none"/>
        <w:vertAlign w:val="baseline"/>
      </w:rPr>
    </w:lvl>
    <w:lvl w:ilvl="5" w:tplc="60A64F50">
      <w:start w:val="1"/>
      <w:numFmt w:val="bullet"/>
      <w:lvlText w:val="▪"/>
      <w:lvlJc w:val="left"/>
      <w:pPr>
        <w:ind w:left="4320" w:hanging="360"/>
      </w:pPr>
      <w:rPr>
        <w:rFonts w:ascii="Arial" w:hAnsi="Arial" w:eastAsia="Arial" w:cs="Arial"/>
        <w:b w:val="0"/>
        <w:bCs w:val="0"/>
        <w:i w:val="0"/>
        <w:iCs w:val="0"/>
        <w:caps w:val="0"/>
        <w:smallCaps w:val="0"/>
        <w:strike w:val="0"/>
        <w:dstrike w:val="0"/>
        <w:outline w:val="0"/>
        <w:emboss w:val="0"/>
        <w:imprint w:val="0"/>
        <w:color w:val="31849B"/>
        <w:spacing w:val="0"/>
        <w:w w:val="100"/>
        <w:kern w:val="0"/>
        <w:position w:val="0"/>
        <w:highlight w:val="none"/>
        <w:vertAlign w:val="baseline"/>
      </w:rPr>
    </w:lvl>
    <w:lvl w:ilvl="6" w:tplc="48508786">
      <w:start w:val="1"/>
      <w:numFmt w:val="bullet"/>
      <w:lvlText w:val="●"/>
      <w:lvlJc w:val="left"/>
      <w:pPr>
        <w:ind w:left="5040" w:hanging="360"/>
      </w:pPr>
      <w:rPr>
        <w:rFonts w:ascii="Arial" w:hAnsi="Arial" w:eastAsia="Arial" w:cs="Arial"/>
        <w:b w:val="0"/>
        <w:bCs w:val="0"/>
        <w:i w:val="0"/>
        <w:iCs w:val="0"/>
        <w:caps w:val="0"/>
        <w:smallCaps w:val="0"/>
        <w:strike w:val="0"/>
        <w:dstrike w:val="0"/>
        <w:outline w:val="0"/>
        <w:emboss w:val="0"/>
        <w:imprint w:val="0"/>
        <w:color w:val="31849B"/>
        <w:spacing w:val="0"/>
        <w:w w:val="100"/>
        <w:kern w:val="0"/>
        <w:position w:val="0"/>
        <w:highlight w:val="none"/>
        <w:vertAlign w:val="baseline"/>
      </w:rPr>
    </w:lvl>
    <w:lvl w:ilvl="7" w:tplc="80CCA3C8">
      <w:start w:val="1"/>
      <w:numFmt w:val="bullet"/>
      <w:lvlText w:val="o"/>
      <w:lvlJc w:val="left"/>
      <w:pPr>
        <w:ind w:left="5760" w:hanging="360"/>
      </w:pPr>
      <w:rPr>
        <w:rFonts w:ascii="Arial" w:hAnsi="Arial" w:eastAsia="Arial" w:cs="Arial"/>
        <w:b w:val="0"/>
        <w:bCs w:val="0"/>
        <w:i w:val="0"/>
        <w:iCs w:val="0"/>
        <w:caps w:val="0"/>
        <w:smallCaps w:val="0"/>
        <w:strike w:val="0"/>
        <w:dstrike w:val="0"/>
        <w:outline w:val="0"/>
        <w:emboss w:val="0"/>
        <w:imprint w:val="0"/>
        <w:color w:val="31849B"/>
        <w:spacing w:val="0"/>
        <w:w w:val="100"/>
        <w:kern w:val="0"/>
        <w:position w:val="0"/>
        <w:highlight w:val="none"/>
        <w:vertAlign w:val="baseline"/>
      </w:rPr>
    </w:lvl>
    <w:lvl w:ilvl="8" w:tplc="E05229E4">
      <w:start w:val="1"/>
      <w:numFmt w:val="bullet"/>
      <w:lvlText w:val="▪"/>
      <w:lvlJc w:val="left"/>
      <w:pPr>
        <w:ind w:left="6480" w:hanging="360"/>
      </w:pPr>
      <w:rPr>
        <w:rFonts w:ascii="Arial" w:hAnsi="Arial" w:eastAsia="Arial" w:cs="Arial"/>
        <w:b w:val="0"/>
        <w:bCs w:val="0"/>
        <w:i w:val="0"/>
        <w:iCs w:val="0"/>
        <w:caps w:val="0"/>
        <w:smallCaps w:val="0"/>
        <w:strike w:val="0"/>
        <w:dstrike w:val="0"/>
        <w:outline w:val="0"/>
        <w:emboss w:val="0"/>
        <w:imprint w:val="0"/>
        <w:color w:val="31849B"/>
        <w:spacing w:val="0"/>
        <w:w w:val="100"/>
        <w:kern w:val="0"/>
        <w:position w:val="0"/>
        <w:highlight w:val="none"/>
        <w:vertAlign w:val="baseline"/>
      </w:rPr>
    </w:lvl>
  </w:abstractNum>
  <w:abstractNum w:abstractNumId="1" w15:restartNumberingAfterBreak="0">
    <w:nsid w:val="75452088"/>
    <w:multiLevelType w:val="hybridMultilevel"/>
    <w:tmpl w:val="DDE2CD64"/>
    <w:numStyleLink w:val="1"/>
  </w:abstractNum>
  <w:num w:numId="1" w16cid:durableId="602615632">
    <w:abstractNumId w:val="0"/>
  </w:num>
  <w:num w:numId="2" w16cid:durableId="92484739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8"/>
  <w:displayBackgroundShape/>
  <w:hideSpellingErrors/>
  <w:hideGrammaticalErrors/>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16"/>
    <w:rsid w:val="00000000"/>
    <w:rsid w:val="00364233"/>
    <w:rsid w:val="0038732A"/>
    <w:rsid w:val="005616AE"/>
    <w:rsid w:val="00826F54"/>
    <w:rsid w:val="00B62616"/>
    <w:rsid w:val="00C85C22"/>
    <w:rsid w:val="00E40783"/>
    <w:rsid w:val="00F25177"/>
    <w:rsid w:val="403A13BD"/>
    <w:rsid w:val="582A3D7E"/>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A90B79"/>
  <w15:docId w15:val="{C4F42332-4672-4F43-9B82-2204F2F7C2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A" w:customStyle="1">
    <w:name w:val="본문 A"/>
    <w:pPr>
      <w:spacing w:after="200"/>
    </w:pPr>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paragraph" w:styleId="a0" w:customStyle="1">
    <w:name w:val="기본 설정값"/>
    <w:pPr>
      <w:spacing w:before="160" w:line="288" w:lineRule="auto"/>
    </w:pPr>
    <w:rPr>
      <w:rFonts w:ascii="Apple SD 산돌고딕 Neo 일반체" w:hAnsi="Apple SD 산돌고딕 Neo 일반체" w:eastAsia="Apple SD 산돌고딕 Neo 일반체" w:cs="Apple SD 산돌고딕 Neo 일반체"/>
      <w:color w:val="000000"/>
      <w:sz w:val="24"/>
      <w:szCs w:val="24"/>
      <w14:textOutline w14:w="0" w14:cap="flat" w14:cmpd="sng" w14:algn="ctr">
        <w14:noFill/>
        <w14:prstDash w14:val="solid"/>
        <w14:bevel/>
      </w14:textOutline>
    </w:rPr>
  </w:style>
  <w:style w:type="paragraph" w:styleId="AA" w:customStyle="1">
    <w:name w:val="기본 설정값 A A"/>
    <w:pPr>
      <w:spacing w:before="160" w:line="288" w:lineRule="auto"/>
    </w:pPr>
    <w:rPr>
      <w:rFonts w:ascii="Apple SD 산돌고딕 Neo 일반체" w:hAnsi="Apple SD 산돌고딕 Neo 일반체" w:eastAsia="Apple SD 산돌고딕 Neo 일반체" w:cs="Apple SD 산돌고딕 Neo 일반체"/>
      <w:color w:val="000000"/>
      <w:sz w:val="24"/>
      <w:szCs w:val="24"/>
      <w:u w:color="000000"/>
      <w:lang w:val="en-US"/>
      <w14:textOutline w14:w="12700" w14:cap="flat" w14:cmpd="sng" w14:algn="ctr">
        <w14:noFill/>
        <w14:prstDash w14:val="solid"/>
        <w14:miter w14:lim="400000"/>
      </w14:textOutline>
    </w:rPr>
  </w:style>
  <w:style w:type="numbering" w:styleId="1" w:customStyle="1">
    <w:name w:val="가져온 스타일 1"/>
    <w:pPr>
      <w:numPr>
        <w:numId w:val="1"/>
      </w:numPr>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pple SD 산돌고딕 Neo 볼드체"/>
        <a:ea typeface="Apple SD 산돌고딕 Neo 볼드체"/>
        <a:cs typeface="Apple SD 산돌고딕 Neo 볼드체"/>
      </a:majorFont>
      <a:minorFont>
        <a:latin typeface="Apple SD 산돌고딕 Neo 일반체"/>
        <a:ea typeface="Apple SD 산돌고딕 Neo 일반체"/>
        <a:cs typeface="Apple SD 산돌고딕 Neo 일반체"/>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pple SD 산돌고딕 Neo 일반체"/>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pple SD 산돌고딕 Neo 일반체"/>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Shian Joo</lastModifiedBy>
  <revision>5</revision>
  <dcterms:created xsi:type="dcterms:W3CDTF">2025-08-02T09:39:00.0000000Z</dcterms:created>
  <dcterms:modified xsi:type="dcterms:W3CDTF">2025-08-02T16:42:35.1501438Z</dcterms:modified>
</coreProperties>
</file>